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A3E0" w14:textId="429F434D" w:rsidR="002F31B0" w:rsidRPr="005B28AA" w:rsidRDefault="002F31B0" w:rsidP="005B28AA">
      <w:pPr>
        <w:pStyle w:val="OZNPROJEKTUwskazaniedatylubwersjiprojektu"/>
        <w:spacing w:before="120" w:line="276" w:lineRule="auto"/>
        <w:rPr>
          <w:rFonts w:ascii="Tahoma" w:hAnsi="Tahoma" w:cs="Tahoma"/>
          <w:szCs w:val="24"/>
          <w:u w:val="none"/>
        </w:rPr>
      </w:pPr>
      <w:r w:rsidRPr="005B28AA">
        <w:rPr>
          <w:rFonts w:ascii="Tahoma" w:hAnsi="Tahoma" w:cs="Tahoma"/>
          <w:szCs w:val="24"/>
          <w:u w:val="none"/>
        </w:rPr>
        <w:t xml:space="preserve">Projekt </w:t>
      </w:r>
      <w:r w:rsidR="00BB0BD7">
        <w:rPr>
          <w:rFonts w:ascii="Tahoma" w:hAnsi="Tahoma" w:cs="Tahoma"/>
          <w:szCs w:val="24"/>
          <w:u w:val="none"/>
        </w:rPr>
        <w:t>z dnia 9 lutego 2024 r.</w:t>
      </w:r>
    </w:p>
    <w:p w14:paraId="62DDA044" w14:textId="77777777" w:rsidR="002F31B0" w:rsidRPr="005B28AA" w:rsidRDefault="002F31B0" w:rsidP="005B28AA">
      <w:pPr>
        <w:pStyle w:val="OZNRODZAKTUtznustawalubrozporzdzenieiorganwydajcy"/>
        <w:spacing w:before="120" w:line="276" w:lineRule="auto"/>
        <w:rPr>
          <w:rFonts w:ascii="Tahoma" w:hAnsi="Tahoma" w:cs="Tahoma"/>
        </w:rPr>
      </w:pPr>
    </w:p>
    <w:p w14:paraId="6B5A2D03" w14:textId="77777777" w:rsidR="009812B5" w:rsidRPr="005B28AA" w:rsidRDefault="00993831" w:rsidP="005B28AA">
      <w:pPr>
        <w:pStyle w:val="TYTUAKTUprzedmiotregulacjiustawylubrozporzdzenia"/>
        <w:spacing w:line="276" w:lineRule="auto"/>
        <w:rPr>
          <w:rFonts w:ascii="Tahoma" w:hAnsi="Tahoma" w:cs="Tahoma"/>
        </w:rPr>
      </w:pPr>
      <w:r w:rsidRPr="005B28AA">
        <w:rPr>
          <w:rFonts w:ascii="Tahoma" w:hAnsi="Tahoma" w:cs="Tahoma"/>
        </w:rPr>
        <w:t xml:space="preserve">Ustawa </w:t>
      </w:r>
    </w:p>
    <w:p w14:paraId="7D7DC3E6" w14:textId="77777777" w:rsidR="009812B5" w:rsidRPr="005B28AA" w:rsidRDefault="009812B5" w:rsidP="005B28AA">
      <w:pPr>
        <w:pStyle w:val="DATAAKTUdatauchwalenialubwydaniaaktu"/>
        <w:spacing w:line="276" w:lineRule="auto"/>
        <w:rPr>
          <w:rFonts w:ascii="Tahoma" w:hAnsi="Tahoma" w:cs="Tahoma"/>
        </w:rPr>
      </w:pPr>
      <w:r w:rsidRPr="005B28AA">
        <w:rPr>
          <w:rFonts w:ascii="Tahoma" w:hAnsi="Tahoma" w:cs="Tahoma"/>
        </w:rPr>
        <w:t>z dnia……………………</w:t>
      </w:r>
      <w:r w:rsidR="00634BC8" w:rsidRPr="005B28AA">
        <w:rPr>
          <w:rFonts w:ascii="Tahoma" w:hAnsi="Tahoma" w:cs="Tahoma"/>
        </w:rPr>
        <w:t>2024 r.</w:t>
      </w:r>
    </w:p>
    <w:p w14:paraId="5CD1397A" w14:textId="77777777" w:rsidR="002F31B0" w:rsidRPr="005B28AA" w:rsidRDefault="00993831" w:rsidP="005B28AA">
      <w:pPr>
        <w:pStyle w:val="TYTUAKTUprzedmiotregulacjiustawylubrozporzdzenia"/>
        <w:spacing w:line="276" w:lineRule="auto"/>
        <w:rPr>
          <w:rFonts w:ascii="Tahoma" w:hAnsi="Tahoma" w:cs="Tahoma"/>
        </w:rPr>
      </w:pPr>
      <w:r w:rsidRPr="005B28AA">
        <w:rPr>
          <w:rFonts w:ascii="Tahoma" w:hAnsi="Tahoma" w:cs="Tahoma"/>
        </w:rPr>
        <w:t>o zmianie ustawy – Prawo pocztowe</w:t>
      </w:r>
      <w:r w:rsidR="005920AD" w:rsidRPr="005B28AA">
        <w:rPr>
          <w:rFonts w:ascii="Tahoma" w:hAnsi="Tahoma" w:cs="Tahoma"/>
        </w:rPr>
        <w:t xml:space="preserve"> oraz ustaw</w:t>
      </w:r>
      <w:r w:rsidR="00634BC8" w:rsidRPr="005B28AA">
        <w:rPr>
          <w:rFonts w:ascii="Tahoma" w:hAnsi="Tahoma" w:cs="Tahoma"/>
        </w:rPr>
        <w:t xml:space="preserve">y o zmianie ustawy </w:t>
      </w:r>
      <w:r w:rsidR="005B28AA" w:rsidRPr="005B28AA">
        <w:rPr>
          <w:rFonts w:ascii="Tahoma" w:hAnsi="Tahoma" w:cs="Tahoma"/>
        </w:rPr>
        <w:br/>
      </w:r>
      <w:r w:rsidR="00634BC8" w:rsidRPr="005B28AA">
        <w:rPr>
          <w:rFonts w:ascii="Tahoma" w:hAnsi="Tahoma" w:cs="Tahoma"/>
        </w:rPr>
        <w:t>– Prawo pocztowe</w:t>
      </w:r>
    </w:p>
    <w:p w14:paraId="6196DEF3" w14:textId="77777777" w:rsidR="005B28AA" w:rsidRPr="005B28AA" w:rsidRDefault="005B28AA" w:rsidP="005B28AA">
      <w:pPr>
        <w:pStyle w:val="ARTartustawynprozporzdzenia"/>
        <w:spacing w:line="276" w:lineRule="auto"/>
        <w:rPr>
          <w:szCs w:val="24"/>
        </w:rPr>
      </w:pPr>
    </w:p>
    <w:p w14:paraId="73F4041D" w14:textId="77777777" w:rsidR="005B28AA" w:rsidRPr="005B28AA" w:rsidRDefault="005B28AA" w:rsidP="005B28AA">
      <w:pPr>
        <w:pStyle w:val="ARTartustawynprozporzdzenia"/>
        <w:spacing w:line="276" w:lineRule="auto"/>
        <w:rPr>
          <w:szCs w:val="24"/>
        </w:rPr>
      </w:pPr>
    </w:p>
    <w:p w14:paraId="734EC5B1" w14:textId="77777777" w:rsidR="00993831" w:rsidRPr="005B28AA" w:rsidRDefault="002F31B0" w:rsidP="005B28AA">
      <w:pPr>
        <w:pStyle w:val="ARTartustawynprozporzdzenia"/>
        <w:spacing w:line="276" w:lineRule="auto"/>
        <w:rPr>
          <w:rFonts w:ascii="Tahoma" w:hAnsi="Tahoma" w:cs="Tahoma"/>
          <w:szCs w:val="24"/>
        </w:rPr>
      </w:pPr>
      <w:r w:rsidRPr="005B28AA">
        <w:rPr>
          <w:rFonts w:ascii="Tahoma" w:hAnsi="Tahoma" w:cs="Tahoma"/>
          <w:b/>
          <w:szCs w:val="24"/>
        </w:rPr>
        <w:t>Art.</w:t>
      </w:r>
      <w:r w:rsidRPr="005B28AA">
        <w:rPr>
          <w:rFonts w:ascii="Tahoma" w:hAnsi="Tahoma" w:cs="Tahoma"/>
          <w:b/>
          <w:szCs w:val="24"/>
        </w:rPr>
        <w:tab/>
        <w:t>1.</w:t>
      </w:r>
      <w:r w:rsidRPr="005B28AA">
        <w:rPr>
          <w:rFonts w:ascii="Tahoma" w:hAnsi="Tahoma" w:cs="Tahoma"/>
          <w:szCs w:val="24"/>
        </w:rPr>
        <w:tab/>
        <w:t xml:space="preserve">W ustawie z dnia </w:t>
      </w:r>
      <w:r w:rsidR="005920AD" w:rsidRPr="005B28AA">
        <w:rPr>
          <w:rFonts w:ascii="Tahoma" w:hAnsi="Tahoma" w:cs="Tahoma"/>
          <w:szCs w:val="24"/>
        </w:rPr>
        <w:t xml:space="preserve">23 listopada 2012 r. </w:t>
      </w:r>
      <w:r w:rsidRPr="005B28AA">
        <w:rPr>
          <w:rFonts w:ascii="Tahoma" w:hAnsi="Tahoma" w:cs="Tahoma"/>
          <w:szCs w:val="24"/>
        </w:rPr>
        <w:t xml:space="preserve"> – Prawo pocztowe </w:t>
      </w:r>
      <w:r w:rsidR="00993831" w:rsidRPr="005B28AA">
        <w:rPr>
          <w:rFonts w:ascii="Tahoma" w:hAnsi="Tahoma" w:cs="Tahoma"/>
          <w:szCs w:val="24"/>
        </w:rPr>
        <w:t xml:space="preserve">(Dz. U. </w:t>
      </w:r>
      <w:r w:rsidR="005920AD" w:rsidRPr="005B28AA">
        <w:rPr>
          <w:rFonts w:ascii="Tahoma" w:hAnsi="Tahoma" w:cs="Tahoma"/>
          <w:szCs w:val="24"/>
        </w:rPr>
        <w:t>z 2023 r. poz. 1640) po a</w:t>
      </w:r>
      <w:r w:rsidRPr="005B28AA">
        <w:rPr>
          <w:rFonts w:ascii="Tahoma" w:hAnsi="Tahoma" w:cs="Tahoma"/>
          <w:szCs w:val="24"/>
        </w:rPr>
        <w:t xml:space="preserve">rt. </w:t>
      </w:r>
      <w:r w:rsidR="005920AD" w:rsidRPr="005B28AA">
        <w:rPr>
          <w:rFonts w:ascii="Tahoma" w:hAnsi="Tahoma" w:cs="Tahoma"/>
          <w:szCs w:val="24"/>
        </w:rPr>
        <w:t xml:space="preserve">109 dodaje się art. 109a </w:t>
      </w:r>
      <w:r w:rsidR="00993831" w:rsidRPr="005B28AA">
        <w:rPr>
          <w:rFonts w:ascii="Tahoma" w:hAnsi="Tahoma" w:cs="Tahoma"/>
          <w:szCs w:val="24"/>
        </w:rPr>
        <w:t>w brzmieniu:</w:t>
      </w:r>
    </w:p>
    <w:p w14:paraId="30030C91" w14:textId="77777777" w:rsidR="0059674A" w:rsidRPr="005B28AA" w:rsidRDefault="00993831" w:rsidP="005B28AA">
      <w:pPr>
        <w:pStyle w:val="ZUSTzmustartykuempunktem"/>
        <w:spacing w:before="120" w:line="276" w:lineRule="auto"/>
        <w:rPr>
          <w:rFonts w:ascii="Tahoma" w:hAnsi="Tahoma" w:cs="Tahoma"/>
          <w:szCs w:val="24"/>
        </w:rPr>
      </w:pPr>
      <w:bookmarkStart w:id="0" w:name="_Hlk158372287"/>
      <w:r w:rsidRPr="005B28AA">
        <w:rPr>
          <w:rFonts w:ascii="Tahoma" w:hAnsi="Tahoma" w:cs="Tahoma"/>
          <w:szCs w:val="24"/>
        </w:rPr>
        <w:t>„</w:t>
      </w:r>
      <w:r w:rsidR="005920AD" w:rsidRPr="005B28AA">
        <w:rPr>
          <w:rFonts w:ascii="Tahoma" w:hAnsi="Tahoma" w:cs="Tahoma"/>
          <w:szCs w:val="24"/>
        </w:rPr>
        <w:t>Art. 109a. 1</w:t>
      </w:r>
      <w:r w:rsidRPr="005B28AA">
        <w:rPr>
          <w:rFonts w:ascii="Tahoma" w:hAnsi="Tahoma" w:cs="Tahoma"/>
          <w:szCs w:val="24"/>
        </w:rPr>
        <w:t xml:space="preserve">. </w:t>
      </w:r>
      <w:r w:rsidR="001D2CDE" w:rsidRPr="005B28AA">
        <w:rPr>
          <w:rFonts w:ascii="Tahoma" w:hAnsi="Tahoma" w:cs="Tahoma"/>
          <w:szCs w:val="24"/>
        </w:rPr>
        <w:t>Wstępna płatność na poczet f</w:t>
      </w:r>
      <w:r w:rsidRPr="005B28AA">
        <w:rPr>
          <w:rFonts w:ascii="Tahoma" w:hAnsi="Tahoma" w:cs="Tahoma"/>
          <w:szCs w:val="24"/>
        </w:rPr>
        <w:t>ina</w:t>
      </w:r>
      <w:r w:rsidR="00CB0C2C" w:rsidRPr="005B28AA">
        <w:rPr>
          <w:rFonts w:ascii="Tahoma" w:hAnsi="Tahoma" w:cs="Tahoma"/>
          <w:szCs w:val="24"/>
        </w:rPr>
        <w:t>n</w:t>
      </w:r>
      <w:r w:rsidR="001D2CDE" w:rsidRPr="005B28AA">
        <w:rPr>
          <w:rFonts w:ascii="Tahoma" w:hAnsi="Tahoma" w:cs="Tahoma"/>
          <w:szCs w:val="24"/>
        </w:rPr>
        <w:t>sowania</w:t>
      </w:r>
      <w:r w:rsidRPr="005B28AA">
        <w:rPr>
          <w:rFonts w:ascii="Tahoma" w:hAnsi="Tahoma" w:cs="Tahoma"/>
          <w:szCs w:val="24"/>
        </w:rPr>
        <w:t xml:space="preserve"> kosztu netto świadczenia usług powszechnych </w:t>
      </w:r>
      <w:r w:rsidR="001D2CDE" w:rsidRPr="005B28AA">
        <w:rPr>
          <w:rFonts w:ascii="Tahoma" w:hAnsi="Tahoma" w:cs="Tahoma"/>
          <w:szCs w:val="24"/>
        </w:rPr>
        <w:t>może zostać uruchomiona</w:t>
      </w:r>
      <w:r w:rsidR="00CB0C2C" w:rsidRPr="005B28AA">
        <w:rPr>
          <w:rFonts w:ascii="Tahoma" w:hAnsi="Tahoma" w:cs="Tahoma"/>
          <w:szCs w:val="24"/>
        </w:rPr>
        <w:t xml:space="preserve"> przed wydaniem decyzji Komisji Europejskiej, o której mowa w art. 109 ust. 4.</w:t>
      </w:r>
      <w:r w:rsidR="0059674A" w:rsidRPr="005B28AA">
        <w:rPr>
          <w:rFonts w:ascii="Tahoma" w:hAnsi="Tahoma" w:cs="Tahoma"/>
          <w:szCs w:val="24"/>
        </w:rPr>
        <w:t xml:space="preserve"> </w:t>
      </w:r>
    </w:p>
    <w:bookmarkEnd w:id="0"/>
    <w:p w14:paraId="0005D47F" w14:textId="77777777" w:rsidR="001D2CDE" w:rsidRPr="005B28AA" w:rsidRDefault="005920AD" w:rsidP="005B28AA">
      <w:pPr>
        <w:pStyle w:val="ZUSTzmustartykuempunktem"/>
        <w:spacing w:before="120" w:line="276" w:lineRule="auto"/>
        <w:rPr>
          <w:rFonts w:ascii="Tahoma" w:hAnsi="Tahoma" w:cs="Tahoma"/>
          <w:szCs w:val="24"/>
        </w:rPr>
      </w:pPr>
      <w:r w:rsidRPr="005B28AA">
        <w:rPr>
          <w:rFonts w:ascii="Tahoma" w:hAnsi="Tahoma" w:cs="Tahoma"/>
          <w:szCs w:val="24"/>
        </w:rPr>
        <w:t>2</w:t>
      </w:r>
      <w:r w:rsidR="0059674A" w:rsidRPr="005B28AA">
        <w:rPr>
          <w:rFonts w:ascii="Tahoma" w:hAnsi="Tahoma" w:cs="Tahoma"/>
          <w:szCs w:val="24"/>
        </w:rPr>
        <w:t xml:space="preserve">. Minister właściwy do spraw łączności może uruchomić </w:t>
      </w:r>
      <w:r w:rsidR="001D2CDE" w:rsidRPr="005B28AA">
        <w:rPr>
          <w:rFonts w:ascii="Tahoma" w:hAnsi="Tahoma" w:cs="Tahoma"/>
          <w:szCs w:val="24"/>
        </w:rPr>
        <w:t xml:space="preserve">wstępną </w:t>
      </w:r>
      <w:r w:rsidRPr="005B28AA">
        <w:rPr>
          <w:rFonts w:ascii="Tahoma" w:hAnsi="Tahoma" w:cs="Tahoma"/>
          <w:szCs w:val="24"/>
        </w:rPr>
        <w:t>płatność, o której mowa w ust. 1</w:t>
      </w:r>
      <w:r w:rsidR="001D2CDE" w:rsidRPr="005B28AA">
        <w:rPr>
          <w:rFonts w:ascii="Tahoma" w:hAnsi="Tahoma" w:cs="Tahoma"/>
          <w:szCs w:val="24"/>
        </w:rPr>
        <w:t xml:space="preserve">, po uzyskaniu </w:t>
      </w:r>
      <w:r w:rsidR="00A90DF9" w:rsidRPr="005B28AA">
        <w:rPr>
          <w:rFonts w:ascii="Tahoma" w:hAnsi="Tahoma" w:cs="Tahoma"/>
          <w:szCs w:val="24"/>
        </w:rPr>
        <w:t xml:space="preserve">informacji </w:t>
      </w:r>
      <w:r w:rsidR="00B52FB9" w:rsidRPr="005B28AA">
        <w:rPr>
          <w:rFonts w:ascii="Tahoma" w:hAnsi="Tahoma" w:cs="Tahoma"/>
          <w:szCs w:val="24"/>
        </w:rPr>
        <w:t xml:space="preserve">o </w:t>
      </w:r>
      <w:r w:rsidR="00E9484D" w:rsidRPr="005B28AA">
        <w:rPr>
          <w:rFonts w:ascii="Tahoma" w:hAnsi="Tahoma" w:cs="Tahoma"/>
          <w:szCs w:val="24"/>
        </w:rPr>
        <w:t xml:space="preserve">kwocie </w:t>
      </w:r>
      <w:r w:rsidR="00B52FB9" w:rsidRPr="005B28AA">
        <w:rPr>
          <w:rFonts w:ascii="Tahoma" w:hAnsi="Tahoma" w:cs="Tahoma"/>
          <w:szCs w:val="24"/>
        </w:rPr>
        <w:t>kosz</w:t>
      </w:r>
      <w:r w:rsidR="00E9484D" w:rsidRPr="005B28AA">
        <w:rPr>
          <w:rFonts w:ascii="Tahoma" w:hAnsi="Tahoma" w:cs="Tahoma"/>
          <w:szCs w:val="24"/>
        </w:rPr>
        <w:t>tu</w:t>
      </w:r>
      <w:r w:rsidR="00B52FB9" w:rsidRPr="005B28AA">
        <w:rPr>
          <w:rFonts w:ascii="Tahoma" w:hAnsi="Tahoma" w:cs="Tahoma"/>
          <w:szCs w:val="24"/>
        </w:rPr>
        <w:t xml:space="preserve"> netto oraz stra</w:t>
      </w:r>
      <w:r w:rsidR="00E9484D" w:rsidRPr="005B28AA">
        <w:rPr>
          <w:rFonts w:ascii="Tahoma" w:hAnsi="Tahoma" w:cs="Tahoma"/>
          <w:szCs w:val="24"/>
        </w:rPr>
        <w:t>ty</w:t>
      </w:r>
      <w:r w:rsidR="00B52FB9" w:rsidRPr="005B28AA">
        <w:rPr>
          <w:rFonts w:ascii="Tahoma" w:hAnsi="Tahoma" w:cs="Tahoma"/>
          <w:szCs w:val="24"/>
        </w:rPr>
        <w:t>, o której mowa w art. 109 ust. 2, zweryfikowanych przez niezależnego biegłego rewidenta</w:t>
      </w:r>
      <w:r w:rsidR="002470E1" w:rsidRPr="005B28AA">
        <w:rPr>
          <w:rFonts w:ascii="Tahoma" w:hAnsi="Tahoma" w:cs="Tahoma"/>
          <w:szCs w:val="24"/>
        </w:rPr>
        <w:t xml:space="preserve"> zgodnie z art. 112 ust. 3</w:t>
      </w:r>
      <w:r w:rsidR="00B52FB9" w:rsidRPr="005B28AA">
        <w:rPr>
          <w:rFonts w:ascii="Tahoma" w:hAnsi="Tahoma" w:cs="Tahoma"/>
          <w:szCs w:val="24"/>
        </w:rPr>
        <w:t xml:space="preserve">, </w:t>
      </w:r>
      <w:r w:rsidR="00A90DF9" w:rsidRPr="005B28AA">
        <w:rPr>
          <w:rFonts w:ascii="Tahoma" w:hAnsi="Tahoma" w:cs="Tahoma"/>
          <w:szCs w:val="24"/>
        </w:rPr>
        <w:t>przekazan</w:t>
      </w:r>
      <w:r w:rsidR="001D2CDE" w:rsidRPr="005B28AA">
        <w:rPr>
          <w:rFonts w:ascii="Tahoma" w:hAnsi="Tahoma" w:cs="Tahoma"/>
          <w:szCs w:val="24"/>
        </w:rPr>
        <w:t>ych</w:t>
      </w:r>
      <w:r w:rsidR="0059674A" w:rsidRPr="005B28AA">
        <w:rPr>
          <w:rFonts w:ascii="Tahoma" w:hAnsi="Tahoma" w:cs="Tahoma"/>
          <w:szCs w:val="24"/>
        </w:rPr>
        <w:t xml:space="preserve"> przez Prezesa UKE</w:t>
      </w:r>
      <w:r w:rsidR="007C03E9" w:rsidRPr="005B28AA">
        <w:rPr>
          <w:rFonts w:ascii="Tahoma" w:hAnsi="Tahoma" w:cs="Tahoma"/>
          <w:szCs w:val="24"/>
        </w:rPr>
        <w:t xml:space="preserve"> na wniosek ministra właściwego do spraw łączności</w:t>
      </w:r>
      <w:r w:rsidR="00B52FB9" w:rsidRPr="005B28AA">
        <w:rPr>
          <w:rFonts w:ascii="Tahoma" w:hAnsi="Tahoma" w:cs="Tahoma"/>
          <w:szCs w:val="24"/>
        </w:rPr>
        <w:t>.</w:t>
      </w:r>
    </w:p>
    <w:p w14:paraId="7AB5B9FD" w14:textId="77777777" w:rsidR="001D2CDE" w:rsidRPr="005B28AA" w:rsidRDefault="005920AD" w:rsidP="005B28AA">
      <w:pPr>
        <w:pStyle w:val="ZUSTzmustartykuempunktem"/>
        <w:spacing w:before="120" w:line="276" w:lineRule="auto"/>
        <w:rPr>
          <w:rFonts w:ascii="Tahoma" w:hAnsi="Tahoma" w:cs="Tahoma"/>
          <w:szCs w:val="24"/>
        </w:rPr>
      </w:pPr>
      <w:r w:rsidRPr="005B28AA">
        <w:rPr>
          <w:rFonts w:ascii="Tahoma" w:hAnsi="Tahoma" w:cs="Tahoma"/>
          <w:szCs w:val="24"/>
        </w:rPr>
        <w:t>3</w:t>
      </w:r>
      <w:r w:rsidR="0059674A" w:rsidRPr="005B28AA">
        <w:rPr>
          <w:rFonts w:ascii="Tahoma" w:hAnsi="Tahoma" w:cs="Tahoma"/>
          <w:szCs w:val="24"/>
        </w:rPr>
        <w:t xml:space="preserve">. </w:t>
      </w:r>
      <w:r w:rsidR="00E9484D" w:rsidRPr="005B28AA">
        <w:rPr>
          <w:rFonts w:ascii="Tahoma" w:hAnsi="Tahoma" w:cs="Tahoma"/>
          <w:szCs w:val="24"/>
        </w:rPr>
        <w:t>Prezes UKE przekazuje i</w:t>
      </w:r>
      <w:r w:rsidR="001D2CDE" w:rsidRPr="005B28AA">
        <w:rPr>
          <w:rFonts w:ascii="Tahoma" w:hAnsi="Tahoma" w:cs="Tahoma"/>
          <w:szCs w:val="24"/>
        </w:rPr>
        <w:t>nf</w:t>
      </w:r>
      <w:r w:rsidRPr="005B28AA">
        <w:rPr>
          <w:rFonts w:ascii="Tahoma" w:hAnsi="Tahoma" w:cs="Tahoma"/>
          <w:szCs w:val="24"/>
        </w:rPr>
        <w:t>ormacje, o których mowa w ust. 2</w:t>
      </w:r>
      <w:r w:rsidR="001D2CDE" w:rsidRPr="005B28AA">
        <w:rPr>
          <w:rFonts w:ascii="Tahoma" w:hAnsi="Tahoma" w:cs="Tahoma"/>
          <w:szCs w:val="24"/>
        </w:rPr>
        <w:t>, w terminie 7 dni od otrzymania wniosku ministra właściwego do spraw łączności.</w:t>
      </w:r>
    </w:p>
    <w:p w14:paraId="28AD2569" w14:textId="77777777" w:rsidR="00B52936" w:rsidRPr="005B28AA" w:rsidRDefault="005920AD" w:rsidP="005B28AA">
      <w:pPr>
        <w:pStyle w:val="ZUSTzmustartykuempunktem"/>
        <w:spacing w:before="120" w:line="276" w:lineRule="auto"/>
        <w:rPr>
          <w:rFonts w:ascii="Tahoma" w:hAnsi="Tahoma" w:cs="Tahoma"/>
          <w:szCs w:val="24"/>
        </w:rPr>
      </w:pPr>
      <w:r w:rsidRPr="005B28AA">
        <w:rPr>
          <w:rFonts w:ascii="Tahoma" w:hAnsi="Tahoma" w:cs="Tahoma"/>
          <w:szCs w:val="24"/>
        </w:rPr>
        <w:t>4</w:t>
      </w:r>
      <w:r w:rsidR="00A94288" w:rsidRPr="005B28AA">
        <w:rPr>
          <w:rFonts w:ascii="Tahoma" w:hAnsi="Tahoma" w:cs="Tahoma"/>
          <w:szCs w:val="24"/>
        </w:rPr>
        <w:t xml:space="preserve">. </w:t>
      </w:r>
      <w:r w:rsidR="00B52936" w:rsidRPr="005B28AA">
        <w:rPr>
          <w:rFonts w:ascii="Tahoma" w:hAnsi="Tahoma" w:cs="Tahoma"/>
          <w:szCs w:val="24"/>
        </w:rPr>
        <w:t xml:space="preserve">Maksymalna wstępna </w:t>
      </w:r>
      <w:r w:rsidRPr="005B28AA">
        <w:rPr>
          <w:rFonts w:ascii="Tahoma" w:hAnsi="Tahoma" w:cs="Tahoma"/>
          <w:szCs w:val="24"/>
        </w:rPr>
        <w:t>płatność, o której mowa w ust. 1</w:t>
      </w:r>
      <w:r w:rsidR="00B52936" w:rsidRPr="005B28AA">
        <w:rPr>
          <w:rFonts w:ascii="Tahoma" w:hAnsi="Tahoma" w:cs="Tahoma"/>
          <w:szCs w:val="24"/>
        </w:rPr>
        <w:t xml:space="preserve">, nie może przekroczyć </w:t>
      </w:r>
      <w:r w:rsidR="00844932" w:rsidRPr="005B28AA">
        <w:rPr>
          <w:rFonts w:ascii="Tahoma" w:hAnsi="Tahoma" w:cs="Tahoma"/>
          <w:szCs w:val="24"/>
        </w:rPr>
        <w:t xml:space="preserve">określonej w wyniku weryfikacji przeprowadzonej zgodnie z art. 112 ust. 3 </w:t>
      </w:r>
      <w:r w:rsidR="00B52936" w:rsidRPr="005B28AA">
        <w:rPr>
          <w:rFonts w:ascii="Tahoma" w:hAnsi="Tahoma" w:cs="Tahoma"/>
          <w:szCs w:val="24"/>
        </w:rPr>
        <w:t>kwoty kosztu netto, a w przypadku gdy kwota ta jest wyższa od kwoty</w:t>
      </w:r>
      <w:r w:rsidR="00844932" w:rsidRPr="005B28AA">
        <w:rPr>
          <w:rFonts w:ascii="Tahoma" w:hAnsi="Tahoma" w:cs="Tahoma"/>
          <w:szCs w:val="24"/>
        </w:rPr>
        <w:t xml:space="preserve"> straty, o której mowa w art. 109 ust. 2</w:t>
      </w:r>
      <w:r w:rsidR="00B52936" w:rsidRPr="005B28AA">
        <w:rPr>
          <w:rFonts w:ascii="Tahoma" w:hAnsi="Tahoma" w:cs="Tahoma"/>
          <w:szCs w:val="24"/>
        </w:rPr>
        <w:t xml:space="preserve"> – kwoty tej straty.</w:t>
      </w:r>
    </w:p>
    <w:p w14:paraId="1580F035" w14:textId="77777777" w:rsidR="00CB0C2C" w:rsidRPr="005B28AA" w:rsidRDefault="00634BC8" w:rsidP="005B28AA">
      <w:pPr>
        <w:pStyle w:val="ZUSTzmustartykuempunktem"/>
        <w:spacing w:before="120" w:line="276" w:lineRule="auto"/>
        <w:rPr>
          <w:rFonts w:ascii="Tahoma" w:hAnsi="Tahoma" w:cs="Tahoma"/>
          <w:szCs w:val="24"/>
        </w:rPr>
      </w:pPr>
      <w:r w:rsidRPr="005B28AA">
        <w:rPr>
          <w:rFonts w:ascii="Tahoma" w:hAnsi="Tahoma" w:cs="Tahoma"/>
          <w:szCs w:val="24"/>
        </w:rPr>
        <w:t>5</w:t>
      </w:r>
      <w:r w:rsidR="00B52936" w:rsidRPr="005B28AA">
        <w:rPr>
          <w:rFonts w:ascii="Tahoma" w:hAnsi="Tahoma" w:cs="Tahoma"/>
          <w:szCs w:val="24"/>
        </w:rPr>
        <w:t xml:space="preserve">. Wstępna </w:t>
      </w:r>
      <w:r w:rsidRPr="005B28AA">
        <w:rPr>
          <w:rFonts w:ascii="Tahoma" w:hAnsi="Tahoma" w:cs="Tahoma"/>
          <w:szCs w:val="24"/>
        </w:rPr>
        <w:t>płatność, o której mowa w ust. 1</w:t>
      </w:r>
      <w:r w:rsidR="00F153F0" w:rsidRPr="005B28AA">
        <w:rPr>
          <w:rFonts w:ascii="Tahoma" w:hAnsi="Tahoma" w:cs="Tahoma"/>
          <w:szCs w:val="24"/>
        </w:rPr>
        <w:t>,</w:t>
      </w:r>
      <w:r w:rsidR="0059674A" w:rsidRPr="005B28AA">
        <w:rPr>
          <w:rFonts w:ascii="Tahoma" w:hAnsi="Tahoma" w:cs="Tahoma"/>
          <w:szCs w:val="24"/>
        </w:rPr>
        <w:t xml:space="preserve"> jest finansowan</w:t>
      </w:r>
      <w:r w:rsidR="00793A2A" w:rsidRPr="005B28AA">
        <w:rPr>
          <w:rFonts w:ascii="Tahoma" w:hAnsi="Tahoma" w:cs="Tahoma"/>
          <w:szCs w:val="24"/>
        </w:rPr>
        <w:t>a</w:t>
      </w:r>
      <w:r w:rsidR="0059674A" w:rsidRPr="005B28AA">
        <w:rPr>
          <w:rFonts w:ascii="Tahoma" w:hAnsi="Tahoma" w:cs="Tahoma"/>
          <w:szCs w:val="24"/>
        </w:rPr>
        <w:t xml:space="preserve"> z budżetu państwa w formie dotacji celowej, na zasadach określonych w ustawie z dnia 27 sierpnia 2009 r. o finansach publicznych.</w:t>
      </w:r>
    </w:p>
    <w:p w14:paraId="0E8BEA8A" w14:textId="77777777" w:rsidR="00793A2A" w:rsidRPr="005B28AA" w:rsidRDefault="00793A2A" w:rsidP="005B28AA">
      <w:pPr>
        <w:pStyle w:val="ZUSTzmustartykuempunktem"/>
        <w:spacing w:before="120" w:line="276" w:lineRule="auto"/>
        <w:rPr>
          <w:rFonts w:ascii="Tahoma" w:hAnsi="Tahoma" w:cs="Tahoma"/>
          <w:szCs w:val="24"/>
        </w:rPr>
      </w:pPr>
      <w:r w:rsidRPr="005B28AA">
        <w:rPr>
          <w:rFonts w:ascii="Tahoma" w:hAnsi="Tahoma" w:cs="Tahoma"/>
          <w:szCs w:val="24"/>
        </w:rPr>
        <w:t xml:space="preserve">7. </w:t>
      </w:r>
      <w:r w:rsidR="00844932" w:rsidRPr="005B28AA">
        <w:rPr>
          <w:rFonts w:ascii="Tahoma" w:hAnsi="Tahoma" w:cs="Tahoma"/>
          <w:szCs w:val="24"/>
        </w:rPr>
        <w:t>Kwota</w:t>
      </w:r>
      <w:r w:rsidRPr="005B28AA">
        <w:rPr>
          <w:rFonts w:ascii="Tahoma" w:hAnsi="Tahoma" w:cs="Tahoma"/>
          <w:szCs w:val="24"/>
        </w:rPr>
        <w:t xml:space="preserve"> wstępnej płatności</w:t>
      </w:r>
      <w:r w:rsidR="00634BC8" w:rsidRPr="005B28AA">
        <w:rPr>
          <w:rFonts w:ascii="Tahoma" w:hAnsi="Tahoma" w:cs="Tahoma"/>
          <w:szCs w:val="24"/>
        </w:rPr>
        <w:t>, o której mowa w ust. 1</w:t>
      </w:r>
      <w:r w:rsidR="00C83E2A" w:rsidRPr="005B28AA">
        <w:rPr>
          <w:rFonts w:ascii="Tahoma" w:hAnsi="Tahoma" w:cs="Tahoma"/>
          <w:szCs w:val="24"/>
        </w:rPr>
        <w:t>,</w:t>
      </w:r>
      <w:r w:rsidRPr="005B28AA">
        <w:rPr>
          <w:rFonts w:ascii="Tahoma" w:hAnsi="Tahoma" w:cs="Tahoma"/>
          <w:szCs w:val="24"/>
        </w:rPr>
        <w:t xml:space="preserve"> pomniejsza kwotę finansowania kosztu netto udzielanego operatorowi wyznaczone</w:t>
      </w:r>
      <w:r w:rsidR="00C83E2A" w:rsidRPr="005B28AA">
        <w:rPr>
          <w:rFonts w:ascii="Tahoma" w:hAnsi="Tahoma" w:cs="Tahoma"/>
          <w:szCs w:val="24"/>
        </w:rPr>
        <w:t>mu</w:t>
      </w:r>
      <w:r w:rsidRPr="005B28AA">
        <w:rPr>
          <w:rFonts w:ascii="Tahoma" w:hAnsi="Tahoma" w:cs="Tahoma"/>
          <w:szCs w:val="24"/>
        </w:rPr>
        <w:t>.</w:t>
      </w:r>
    </w:p>
    <w:p w14:paraId="28B155F9" w14:textId="77777777" w:rsidR="00E755A7" w:rsidRPr="005B28AA" w:rsidRDefault="00793A2A" w:rsidP="005B28AA">
      <w:pPr>
        <w:pStyle w:val="ZUSTzmustartykuempunktem"/>
        <w:spacing w:before="120" w:line="276" w:lineRule="auto"/>
        <w:rPr>
          <w:rFonts w:ascii="Tahoma" w:hAnsi="Tahoma" w:cs="Tahoma"/>
          <w:szCs w:val="24"/>
        </w:rPr>
      </w:pPr>
      <w:r w:rsidRPr="005B28AA">
        <w:rPr>
          <w:rFonts w:ascii="Tahoma" w:hAnsi="Tahoma" w:cs="Tahoma"/>
          <w:szCs w:val="24"/>
        </w:rPr>
        <w:t>8</w:t>
      </w:r>
      <w:r w:rsidR="00CB0C2C" w:rsidRPr="005B28AA">
        <w:rPr>
          <w:rFonts w:ascii="Tahoma" w:hAnsi="Tahoma" w:cs="Tahoma"/>
          <w:szCs w:val="24"/>
        </w:rPr>
        <w:t xml:space="preserve">. </w:t>
      </w:r>
      <w:r w:rsidR="00BA65BB" w:rsidRPr="005B28AA">
        <w:rPr>
          <w:rFonts w:ascii="Tahoma" w:hAnsi="Tahoma" w:cs="Tahoma"/>
          <w:szCs w:val="24"/>
        </w:rPr>
        <w:t xml:space="preserve">W terminie 30 dni od dnia ogłoszenia </w:t>
      </w:r>
      <w:r w:rsidR="00E755A7" w:rsidRPr="005B28AA">
        <w:rPr>
          <w:rFonts w:ascii="Tahoma" w:hAnsi="Tahoma" w:cs="Tahoma"/>
          <w:szCs w:val="24"/>
        </w:rPr>
        <w:t xml:space="preserve">decyzji </w:t>
      </w:r>
      <w:r w:rsidR="00F153F0" w:rsidRPr="005B28AA">
        <w:rPr>
          <w:rFonts w:ascii="Tahoma" w:hAnsi="Tahoma" w:cs="Tahoma"/>
          <w:szCs w:val="24"/>
        </w:rPr>
        <w:t xml:space="preserve">Komisji Europejskiej, o której mowa w art. 109 ust. 4, </w:t>
      </w:r>
      <w:r w:rsidR="00E755A7" w:rsidRPr="005B28AA">
        <w:rPr>
          <w:rFonts w:ascii="Tahoma" w:hAnsi="Tahoma" w:cs="Tahoma"/>
          <w:szCs w:val="24"/>
        </w:rPr>
        <w:t>minister właściwy do spraw łączności weryfikuje zgodność f</w:t>
      </w:r>
      <w:r w:rsidR="00CB0C2C" w:rsidRPr="005B28AA">
        <w:rPr>
          <w:rFonts w:ascii="Tahoma" w:hAnsi="Tahoma" w:cs="Tahoma"/>
          <w:szCs w:val="24"/>
        </w:rPr>
        <w:t>inan</w:t>
      </w:r>
      <w:r w:rsidR="00634BC8" w:rsidRPr="005B28AA">
        <w:rPr>
          <w:rFonts w:ascii="Tahoma" w:hAnsi="Tahoma" w:cs="Tahoma"/>
          <w:szCs w:val="24"/>
        </w:rPr>
        <w:t>sowania, o którym mowa w ust. 1</w:t>
      </w:r>
      <w:r w:rsidR="00E755A7" w:rsidRPr="005B28AA">
        <w:rPr>
          <w:rFonts w:ascii="Tahoma" w:hAnsi="Tahoma" w:cs="Tahoma"/>
          <w:szCs w:val="24"/>
        </w:rPr>
        <w:t xml:space="preserve">, z </w:t>
      </w:r>
      <w:r w:rsidR="00BA65BB" w:rsidRPr="005B28AA">
        <w:rPr>
          <w:rFonts w:ascii="Tahoma" w:hAnsi="Tahoma" w:cs="Tahoma"/>
          <w:szCs w:val="24"/>
        </w:rPr>
        <w:t xml:space="preserve">jej </w:t>
      </w:r>
      <w:r w:rsidR="00E755A7" w:rsidRPr="005B28AA">
        <w:rPr>
          <w:rFonts w:ascii="Tahoma" w:hAnsi="Tahoma" w:cs="Tahoma"/>
          <w:szCs w:val="24"/>
        </w:rPr>
        <w:t>postanowieniami.</w:t>
      </w:r>
    </w:p>
    <w:p w14:paraId="363C00E2" w14:textId="77777777" w:rsidR="00993831" w:rsidRPr="005B28AA" w:rsidRDefault="00B52FB9" w:rsidP="005B28AA">
      <w:pPr>
        <w:pStyle w:val="ZUSTzmustartykuempunktem"/>
        <w:spacing w:before="120" w:line="276" w:lineRule="auto"/>
        <w:rPr>
          <w:rFonts w:ascii="Tahoma" w:hAnsi="Tahoma" w:cs="Tahoma"/>
          <w:szCs w:val="24"/>
        </w:rPr>
      </w:pPr>
      <w:r w:rsidRPr="005B28AA">
        <w:rPr>
          <w:rFonts w:ascii="Tahoma" w:hAnsi="Tahoma" w:cs="Tahoma"/>
          <w:szCs w:val="24"/>
        </w:rPr>
        <w:t>9</w:t>
      </w:r>
      <w:r w:rsidR="00BA65BB" w:rsidRPr="005B28AA">
        <w:rPr>
          <w:rFonts w:ascii="Tahoma" w:hAnsi="Tahoma" w:cs="Tahoma"/>
          <w:szCs w:val="24"/>
        </w:rPr>
        <w:t>. W przypadku stwierdzenia niezgodności fina</w:t>
      </w:r>
      <w:r w:rsidR="00634BC8" w:rsidRPr="005B28AA">
        <w:rPr>
          <w:rFonts w:ascii="Tahoma" w:hAnsi="Tahoma" w:cs="Tahoma"/>
          <w:szCs w:val="24"/>
        </w:rPr>
        <w:t>nsowania, o którym mowa w ust. 1</w:t>
      </w:r>
      <w:r w:rsidR="00BA65BB" w:rsidRPr="005B28AA">
        <w:rPr>
          <w:rFonts w:ascii="Tahoma" w:hAnsi="Tahoma" w:cs="Tahoma"/>
          <w:szCs w:val="24"/>
        </w:rPr>
        <w:t>, z postanowieniami decyzji</w:t>
      </w:r>
      <w:r w:rsidR="00F153F0" w:rsidRPr="005B28AA">
        <w:rPr>
          <w:rFonts w:ascii="Tahoma" w:hAnsi="Tahoma" w:cs="Tahoma"/>
          <w:szCs w:val="24"/>
        </w:rPr>
        <w:t xml:space="preserve"> Komisji Europejskiej, o której mowa w art. 109 </w:t>
      </w:r>
      <w:r w:rsidR="00F153F0" w:rsidRPr="005B28AA">
        <w:rPr>
          <w:rFonts w:ascii="Tahoma" w:hAnsi="Tahoma" w:cs="Tahoma"/>
          <w:szCs w:val="24"/>
        </w:rPr>
        <w:lastRenderedPageBreak/>
        <w:t>ust. 4</w:t>
      </w:r>
      <w:r w:rsidR="00BA65BB" w:rsidRPr="005B28AA">
        <w:rPr>
          <w:rFonts w:ascii="Tahoma" w:hAnsi="Tahoma" w:cs="Tahoma"/>
          <w:szCs w:val="24"/>
        </w:rPr>
        <w:t>, finansowanie podlega zwrotowi</w:t>
      </w:r>
      <w:r w:rsidR="007B4F75" w:rsidRPr="005B28AA">
        <w:rPr>
          <w:rFonts w:ascii="Tahoma" w:hAnsi="Tahoma" w:cs="Tahoma"/>
          <w:szCs w:val="24"/>
        </w:rPr>
        <w:t xml:space="preserve"> na zasadach określonych</w:t>
      </w:r>
      <w:r w:rsidR="00F153F0" w:rsidRPr="005B28AA">
        <w:rPr>
          <w:rFonts w:ascii="Tahoma" w:hAnsi="Tahoma" w:cs="Tahoma"/>
          <w:szCs w:val="24"/>
        </w:rPr>
        <w:t xml:space="preserve"> </w:t>
      </w:r>
      <w:r w:rsidR="007B4F75" w:rsidRPr="005B28AA">
        <w:rPr>
          <w:rFonts w:ascii="Tahoma" w:hAnsi="Tahoma" w:cs="Tahoma"/>
          <w:szCs w:val="24"/>
        </w:rPr>
        <w:t>w art. 169 ustawy z dnia 27 sierpnia 2009 r. o finansach publicznych</w:t>
      </w:r>
      <w:r w:rsidR="00BA65BB" w:rsidRPr="005B28AA">
        <w:rPr>
          <w:rFonts w:ascii="Tahoma" w:hAnsi="Tahoma" w:cs="Tahoma"/>
          <w:szCs w:val="24"/>
        </w:rPr>
        <w:t>.</w:t>
      </w:r>
      <w:r w:rsidR="00634BC8" w:rsidRPr="005B28AA">
        <w:rPr>
          <w:rFonts w:ascii="Tahoma" w:hAnsi="Tahoma" w:cs="Tahoma"/>
          <w:szCs w:val="24"/>
        </w:rPr>
        <w:t>”.</w:t>
      </w:r>
    </w:p>
    <w:p w14:paraId="36FAA642" w14:textId="77777777" w:rsidR="002F31B0" w:rsidRPr="005B28AA" w:rsidRDefault="005920AD" w:rsidP="005B28AA">
      <w:pPr>
        <w:pStyle w:val="ARTartustawynprozporzdzenia"/>
        <w:spacing w:line="276" w:lineRule="auto"/>
        <w:rPr>
          <w:rFonts w:ascii="Tahoma" w:hAnsi="Tahoma" w:cs="Tahoma"/>
          <w:szCs w:val="24"/>
        </w:rPr>
      </w:pPr>
      <w:r w:rsidRPr="005B28AA">
        <w:rPr>
          <w:rFonts w:ascii="Tahoma" w:hAnsi="Tahoma" w:cs="Tahoma"/>
          <w:b/>
          <w:szCs w:val="24"/>
        </w:rPr>
        <w:t>Art. 2.</w:t>
      </w:r>
      <w:r w:rsidR="00634BC8" w:rsidRPr="005B28AA">
        <w:rPr>
          <w:rFonts w:ascii="Tahoma" w:hAnsi="Tahoma" w:cs="Tahoma"/>
          <w:b/>
          <w:szCs w:val="24"/>
        </w:rPr>
        <w:t xml:space="preserve"> </w:t>
      </w:r>
      <w:r w:rsidRPr="005B28AA">
        <w:rPr>
          <w:rFonts w:ascii="Tahoma" w:hAnsi="Tahoma" w:cs="Tahoma"/>
          <w:szCs w:val="24"/>
        </w:rPr>
        <w:t xml:space="preserve">W ustawie z dnia 15 września 2022 r. o zmianie ustawy – Prawo pocztowe </w:t>
      </w:r>
      <w:r w:rsidRPr="005B28AA">
        <w:rPr>
          <w:rFonts w:ascii="Tahoma" w:hAnsi="Tahoma" w:cs="Tahoma"/>
          <w:szCs w:val="24"/>
        </w:rPr>
        <w:br/>
        <w:t xml:space="preserve">(Dz. U. poz. 2042) </w:t>
      </w:r>
      <w:r w:rsidR="002F31B0" w:rsidRPr="005B28AA">
        <w:rPr>
          <w:rFonts w:ascii="Tahoma" w:hAnsi="Tahoma" w:cs="Tahoma"/>
          <w:szCs w:val="24"/>
        </w:rPr>
        <w:t>w art. 5</w:t>
      </w:r>
      <w:r w:rsidR="00993831" w:rsidRPr="005B28AA">
        <w:rPr>
          <w:rFonts w:ascii="Tahoma" w:hAnsi="Tahoma" w:cs="Tahoma"/>
          <w:szCs w:val="24"/>
        </w:rPr>
        <w:t xml:space="preserve"> w ust. 1 pkt 3</w:t>
      </w:r>
      <w:r w:rsidR="00E35027" w:rsidRPr="005B28AA">
        <w:rPr>
          <w:rFonts w:ascii="Tahoma" w:hAnsi="Tahoma" w:cs="Tahoma"/>
          <w:szCs w:val="24"/>
        </w:rPr>
        <w:t xml:space="preserve"> i 4 </w:t>
      </w:r>
      <w:r w:rsidR="00993831" w:rsidRPr="005B28AA">
        <w:rPr>
          <w:rFonts w:ascii="Tahoma" w:hAnsi="Tahoma" w:cs="Tahoma"/>
          <w:szCs w:val="24"/>
        </w:rPr>
        <w:t>otrzymuj</w:t>
      </w:r>
      <w:r w:rsidR="00E35027" w:rsidRPr="005B28AA">
        <w:rPr>
          <w:rFonts w:ascii="Tahoma" w:hAnsi="Tahoma" w:cs="Tahoma"/>
          <w:szCs w:val="24"/>
        </w:rPr>
        <w:t>ą</w:t>
      </w:r>
      <w:r w:rsidR="00993831" w:rsidRPr="005B28AA">
        <w:rPr>
          <w:rFonts w:ascii="Tahoma" w:hAnsi="Tahoma" w:cs="Tahoma"/>
          <w:szCs w:val="24"/>
        </w:rPr>
        <w:t xml:space="preserve"> brzmienie:</w:t>
      </w:r>
    </w:p>
    <w:p w14:paraId="48C908BE" w14:textId="77777777" w:rsidR="00E35027" w:rsidRPr="005B28AA" w:rsidRDefault="005920AD" w:rsidP="005B28AA">
      <w:pPr>
        <w:pStyle w:val="ZPKTzmpktartykuempunktem"/>
        <w:spacing w:before="120" w:line="276" w:lineRule="auto"/>
        <w:rPr>
          <w:rFonts w:ascii="Tahoma" w:hAnsi="Tahoma" w:cs="Tahoma"/>
          <w:szCs w:val="24"/>
        </w:rPr>
      </w:pPr>
      <w:r w:rsidRPr="005B28AA">
        <w:rPr>
          <w:rFonts w:ascii="Tahoma" w:hAnsi="Tahoma" w:cs="Tahoma"/>
          <w:szCs w:val="24"/>
        </w:rPr>
        <w:t>„3)</w:t>
      </w:r>
      <w:r w:rsidRPr="005B28AA">
        <w:rPr>
          <w:rFonts w:ascii="Tahoma" w:hAnsi="Tahoma" w:cs="Tahoma"/>
          <w:szCs w:val="24"/>
        </w:rPr>
        <w:tab/>
      </w:r>
      <w:r w:rsidR="00993831" w:rsidRPr="005B28AA">
        <w:rPr>
          <w:rFonts w:ascii="Tahoma" w:hAnsi="Tahoma" w:cs="Tahoma"/>
          <w:szCs w:val="24"/>
        </w:rPr>
        <w:t xml:space="preserve">2024 r. – </w:t>
      </w:r>
      <w:r w:rsidR="00E35027" w:rsidRPr="005B28AA">
        <w:rPr>
          <w:rFonts w:ascii="Tahoma" w:hAnsi="Tahoma" w:cs="Tahoma"/>
          <w:szCs w:val="24"/>
        </w:rPr>
        <w:t>750</w:t>
      </w:r>
      <w:r w:rsidR="00993831" w:rsidRPr="005B28AA">
        <w:rPr>
          <w:rFonts w:ascii="Tahoma" w:hAnsi="Tahoma" w:cs="Tahoma"/>
          <w:szCs w:val="24"/>
        </w:rPr>
        <w:t xml:space="preserve"> mln zł;</w:t>
      </w:r>
    </w:p>
    <w:p w14:paraId="636147E6" w14:textId="77777777" w:rsidR="00993831" w:rsidRPr="005B28AA" w:rsidRDefault="00634BC8" w:rsidP="005B28AA">
      <w:pPr>
        <w:pStyle w:val="ZPKTzmpktartykuempunktem"/>
        <w:spacing w:before="120" w:line="276" w:lineRule="auto"/>
        <w:rPr>
          <w:rFonts w:ascii="Tahoma" w:hAnsi="Tahoma" w:cs="Tahoma"/>
          <w:szCs w:val="24"/>
        </w:rPr>
      </w:pPr>
      <w:r w:rsidRPr="005B28AA">
        <w:rPr>
          <w:rFonts w:ascii="Tahoma" w:hAnsi="Tahoma" w:cs="Tahoma"/>
          <w:szCs w:val="24"/>
        </w:rPr>
        <w:t xml:space="preserve">  </w:t>
      </w:r>
      <w:r w:rsidR="005920AD" w:rsidRPr="005B28AA">
        <w:rPr>
          <w:rFonts w:ascii="Tahoma" w:hAnsi="Tahoma" w:cs="Tahoma"/>
          <w:szCs w:val="24"/>
        </w:rPr>
        <w:t>4)</w:t>
      </w:r>
      <w:r w:rsidR="005920AD" w:rsidRPr="005B28AA">
        <w:rPr>
          <w:rFonts w:ascii="Tahoma" w:hAnsi="Tahoma" w:cs="Tahoma"/>
          <w:szCs w:val="24"/>
        </w:rPr>
        <w:tab/>
      </w:r>
      <w:r w:rsidR="00E35027" w:rsidRPr="005B28AA">
        <w:rPr>
          <w:rFonts w:ascii="Tahoma" w:hAnsi="Tahoma" w:cs="Tahoma"/>
          <w:szCs w:val="24"/>
        </w:rPr>
        <w:t>2025 r. – 1 244 mln zł;</w:t>
      </w:r>
      <w:r w:rsidR="005920AD" w:rsidRPr="005B28AA">
        <w:rPr>
          <w:rFonts w:ascii="Tahoma" w:hAnsi="Tahoma" w:cs="Tahoma"/>
          <w:szCs w:val="24"/>
        </w:rPr>
        <w:t>”</w:t>
      </w:r>
      <w:r w:rsidR="007B4F75" w:rsidRPr="005B28AA">
        <w:rPr>
          <w:rFonts w:ascii="Tahoma" w:hAnsi="Tahoma" w:cs="Tahoma"/>
          <w:szCs w:val="24"/>
        </w:rPr>
        <w:t>.</w:t>
      </w:r>
    </w:p>
    <w:p w14:paraId="26102B75" w14:textId="77777777" w:rsidR="00A904CD" w:rsidRPr="005B28AA" w:rsidRDefault="00A904CD" w:rsidP="005B28AA">
      <w:pPr>
        <w:pStyle w:val="ARTartustawynprozporzdzenia"/>
        <w:spacing w:line="276" w:lineRule="auto"/>
        <w:rPr>
          <w:rFonts w:ascii="Tahoma" w:hAnsi="Tahoma" w:cs="Tahoma"/>
          <w:szCs w:val="24"/>
        </w:rPr>
      </w:pPr>
      <w:r w:rsidRPr="005B28AA">
        <w:rPr>
          <w:rFonts w:ascii="Tahoma" w:hAnsi="Tahoma" w:cs="Tahoma"/>
          <w:b/>
          <w:szCs w:val="24"/>
        </w:rPr>
        <w:t>Art. 3.</w:t>
      </w:r>
      <w:r w:rsidRPr="005B28AA">
        <w:rPr>
          <w:rFonts w:ascii="Tahoma" w:hAnsi="Tahoma" w:cs="Tahoma"/>
          <w:szCs w:val="24"/>
        </w:rPr>
        <w:t xml:space="preserve"> Do finansowania kosztu świadczenia usług powszechnych za lata 2021</w:t>
      </w:r>
      <w:r w:rsidR="0032560E" w:rsidRPr="005B28AA">
        <w:rPr>
          <w:rFonts w:ascii="Tahoma" w:hAnsi="Tahoma" w:cs="Tahoma"/>
          <w:szCs w:val="24"/>
        </w:rPr>
        <w:t xml:space="preserve"> </w:t>
      </w:r>
      <w:r w:rsidR="005B28AA" w:rsidRPr="005B28AA">
        <w:rPr>
          <w:rFonts w:ascii="Tahoma" w:hAnsi="Tahoma" w:cs="Tahoma"/>
          <w:szCs w:val="24"/>
        </w:rPr>
        <w:br/>
      </w:r>
      <w:r w:rsidR="0032560E" w:rsidRPr="005B28AA">
        <w:rPr>
          <w:rFonts w:ascii="Tahoma" w:hAnsi="Tahoma" w:cs="Tahoma"/>
          <w:szCs w:val="24"/>
        </w:rPr>
        <w:t xml:space="preserve">i </w:t>
      </w:r>
      <w:r w:rsidRPr="005B28AA">
        <w:rPr>
          <w:rFonts w:ascii="Tahoma" w:hAnsi="Tahoma" w:cs="Tahoma"/>
          <w:szCs w:val="24"/>
        </w:rPr>
        <w:t>2022 stosuje się przepis art. 109a ustawy zmienianej w art. 1 dodany niniejszą ustawą.</w:t>
      </w:r>
    </w:p>
    <w:p w14:paraId="555FE65E" w14:textId="77777777" w:rsidR="002F31B0" w:rsidRPr="005B28AA" w:rsidRDefault="002F31B0" w:rsidP="005B28AA">
      <w:pPr>
        <w:pStyle w:val="ARTartustawynprozporzdzenia"/>
        <w:spacing w:line="276" w:lineRule="auto"/>
        <w:rPr>
          <w:rFonts w:ascii="Tahoma" w:hAnsi="Tahoma" w:cs="Tahoma"/>
          <w:szCs w:val="24"/>
        </w:rPr>
      </w:pPr>
      <w:r w:rsidRPr="005B28AA">
        <w:rPr>
          <w:rFonts w:ascii="Tahoma" w:hAnsi="Tahoma" w:cs="Tahoma"/>
          <w:b/>
          <w:szCs w:val="24"/>
        </w:rPr>
        <w:t>Art.</w:t>
      </w:r>
      <w:r w:rsidRPr="005B28AA">
        <w:rPr>
          <w:rFonts w:ascii="Tahoma" w:hAnsi="Tahoma" w:cs="Tahoma"/>
          <w:b/>
          <w:szCs w:val="24"/>
        </w:rPr>
        <w:tab/>
      </w:r>
      <w:r w:rsidR="005920AD" w:rsidRPr="005B28AA">
        <w:rPr>
          <w:rFonts w:ascii="Tahoma" w:hAnsi="Tahoma" w:cs="Tahoma"/>
          <w:b/>
          <w:szCs w:val="24"/>
        </w:rPr>
        <w:t>4</w:t>
      </w:r>
      <w:r w:rsidRPr="005B28AA">
        <w:rPr>
          <w:rFonts w:ascii="Tahoma" w:hAnsi="Tahoma" w:cs="Tahoma"/>
          <w:b/>
          <w:szCs w:val="24"/>
        </w:rPr>
        <w:t>.</w:t>
      </w:r>
      <w:r w:rsidRPr="005B28AA">
        <w:rPr>
          <w:rFonts w:ascii="Tahoma" w:hAnsi="Tahoma" w:cs="Tahoma"/>
          <w:szCs w:val="24"/>
        </w:rPr>
        <w:tab/>
        <w:t>Ustawa wchodzi w życie z dniem następującym po dniu ogłoszenia.</w:t>
      </w:r>
    </w:p>
    <w:p w14:paraId="5B158D32" w14:textId="77777777" w:rsidR="005A4E15" w:rsidRPr="005B28AA" w:rsidRDefault="005A4E15" w:rsidP="005B28AA">
      <w:pPr>
        <w:spacing w:before="120" w:line="276" w:lineRule="auto"/>
        <w:rPr>
          <w:rFonts w:ascii="Tahoma" w:hAnsi="Tahoma" w:cs="Tahoma"/>
          <w:szCs w:val="24"/>
        </w:rPr>
      </w:pPr>
    </w:p>
    <w:p w14:paraId="64D6AA54" w14:textId="77777777" w:rsidR="00BA65BB" w:rsidRPr="005B28AA" w:rsidRDefault="00BA65BB" w:rsidP="005B28AA">
      <w:pPr>
        <w:spacing w:before="120" w:line="276" w:lineRule="auto"/>
        <w:rPr>
          <w:rFonts w:ascii="Tahoma" w:hAnsi="Tahoma" w:cs="Tahoma"/>
          <w:szCs w:val="24"/>
        </w:rPr>
      </w:pPr>
    </w:p>
    <w:p w14:paraId="1A513953" w14:textId="77777777" w:rsidR="00BA65BB" w:rsidRPr="005B28AA" w:rsidRDefault="00BA65BB" w:rsidP="005B28AA">
      <w:pPr>
        <w:spacing w:before="120" w:line="276" w:lineRule="auto"/>
        <w:rPr>
          <w:rFonts w:ascii="Tahoma" w:hAnsi="Tahoma" w:cs="Tahoma"/>
          <w:szCs w:val="24"/>
        </w:rPr>
      </w:pPr>
    </w:p>
    <w:p w14:paraId="3910F2B4" w14:textId="77777777" w:rsidR="005B28AA" w:rsidRPr="005B28AA" w:rsidRDefault="005B28AA" w:rsidP="005B28AA">
      <w:pPr>
        <w:spacing w:before="120" w:line="276" w:lineRule="auto"/>
        <w:rPr>
          <w:rFonts w:ascii="Tahoma" w:hAnsi="Tahoma" w:cs="Tahoma"/>
          <w:szCs w:val="24"/>
        </w:rPr>
      </w:pPr>
    </w:p>
    <w:p w14:paraId="5A3BBD27" w14:textId="77777777" w:rsidR="005B28AA" w:rsidRPr="005B28AA" w:rsidRDefault="005B28AA" w:rsidP="005B28AA">
      <w:pPr>
        <w:spacing w:before="120" w:line="276" w:lineRule="auto"/>
        <w:rPr>
          <w:rFonts w:ascii="Tahoma" w:hAnsi="Tahoma" w:cs="Tahoma"/>
          <w:szCs w:val="24"/>
        </w:rPr>
      </w:pPr>
    </w:p>
    <w:p w14:paraId="40D4723C" w14:textId="77777777" w:rsidR="005B28AA" w:rsidRPr="005B28AA" w:rsidRDefault="005B28AA" w:rsidP="005B28AA">
      <w:pPr>
        <w:spacing w:before="120" w:line="276" w:lineRule="auto"/>
        <w:rPr>
          <w:rFonts w:ascii="Tahoma" w:hAnsi="Tahoma" w:cs="Tahoma"/>
          <w:szCs w:val="24"/>
        </w:rPr>
      </w:pPr>
    </w:p>
    <w:p w14:paraId="312F454F" w14:textId="77777777" w:rsidR="005B28AA" w:rsidRPr="005B28AA" w:rsidRDefault="005B28AA" w:rsidP="005B28AA">
      <w:pPr>
        <w:spacing w:before="120" w:line="276" w:lineRule="auto"/>
        <w:rPr>
          <w:rFonts w:ascii="Tahoma" w:hAnsi="Tahoma" w:cs="Tahoma"/>
          <w:szCs w:val="24"/>
        </w:rPr>
      </w:pPr>
    </w:p>
    <w:p w14:paraId="7D82B58C" w14:textId="77777777" w:rsidR="005B28AA" w:rsidRPr="005B28AA" w:rsidRDefault="005B28AA" w:rsidP="005B28AA">
      <w:pPr>
        <w:spacing w:before="120" w:line="276" w:lineRule="auto"/>
        <w:rPr>
          <w:rFonts w:ascii="Tahoma" w:hAnsi="Tahoma" w:cs="Tahoma"/>
          <w:szCs w:val="24"/>
        </w:rPr>
      </w:pPr>
    </w:p>
    <w:p w14:paraId="1A7BB180" w14:textId="77777777" w:rsidR="005B28AA" w:rsidRPr="005B28AA" w:rsidRDefault="005B28AA" w:rsidP="005B28AA">
      <w:pPr>
        <w:spacing w:before="120" w:line="276" w:lineRule="auto"/>
        <w:rPr>
          <w:rFonts w:ascii="Tahoma" w:hAnsi="Tahoma" w:cs="Tahoma"/>
          <w:szCs w:val="24"/>
        </w:rPr>
      </w:pPr>
    </w:p>
    <w:p w14:paraId="165535DF" w14:textId="77777777" w:rsidR="005B28AA" w:rsidRPr="005B28AA" w:rsidRDefault="005B28AA" w:rsidP="005B28AA">
      <w:pPr>
        <w:spacing w:before="120" w:line="276" w:lineRule="auto"/>
        <w:rPr>
          <w:rFonts w:ascii="Tahoma" w:hAnsi="Tahoma" w:cs="Tahoma"/>
          <w:szCs w:val="24"/>
        </w:rPr>
      </w:pPr>
    </w:p>
    <w:p w14:paraId="5E007298" w14:textId="77777777" w:rsidR="005B28AA" w:rsidRPr="005B28AA" w:rsidRDefault="005B28AA" w:rsidP="005B28AA">
      <w:pPr>
        <w:spacing w:before="120" w:line="276" w:lineRule="auto"/>
        <w:rPr>
          <w:rFonts w:ascii="Tahoma" w:hAnsi="Tahoma" w:cs="Tahoma"/>
          <w:szCs w:val="24"/>
        </w:rPr>
      </w:pPr>
    </w:p>
    <w:p w14:paraId="52390F1A" w14:textId="77777777" w:rsidR="005B28AA" w:rsidRPr="005B28AA" w:rsidRDefault="005B28AA" w:rsidP="005B28AA">
      <w:pPr>
        <w:spacing w:before="120" w:line="276" w:lineRule="auto"/>
        <w:rPr>
          <w:rFonts w:ascii="Tahoma" w:hAnsi="Tahoma" w:cs="Tahoma"/>
          <w:szCs w:val="24"/>
        </w:rPr>
      </w:pPr>
    </w:p>
    <w:p w14:paraId="72054922" w14:textId="77777777" w:rsidR="005B28AA" w:rsidRPr="005B28AA" w:rsidRDefault="005B28AA" w:rsidP="005B28AA">
      <w:pPr>
        <w:spacing w:before="120" w:line="276" w:lineRule="auto"/>
        <w:rPr>
          <w:rFonts w:ascii="Tahoma" w:hAnsi="Tahoma" w:cs="Tahoma"/>
          <w:szCs w:val="24"/>
        </w:rPr>
      </w:pPr>
    </w:p>
    <w:p w14:paraId="4FD3A4BF" w14:textId="77777777" w:rsidR="005B28AA" w:rsidRDefault="005B28AA" w:rsidP="005B28AA">
      <w:pPr>
        <w:spacing w:before="120" w:line="276" w:lineRule="auto"/>
        <w:rPr>
          <w:rFonts w:ascii="Tahoma" w:hAnsi="Tahoma" w:cs="Tahoma"/>
          <w:szCs w:val="24"/>
        </w:rPr>
      </w:pPr>
    </w:p>
    <w:p w14:paraId="056415EC" w14:textId="77777777" w:rsidR="005B28AA" w:rsidRDefault="005B28AA" w:rsidP="005B28AA">
      <w:pPr>
        <w:spacing w:before="120" w:line="276" w:lineRule="auto"/>
        <w:rPr>
          <w:rFonts w:ascii="Tahoma" w:hAnsi="Tahoma" w:cs="Tahoma"/>
          <w:szCs w:val="24"/>
        </w:rPr>
      </w:pPr>
    </w:p>
    <w:p w14:paraId="6BA9ACBD" w14:textId="77777777" w:rsidR="005B28AA" w:rsidRDefault="005B28AA" w:rsidP="005B28AA">
      <w:pPr>
        <w:spacing w:before="120" w:line="276" w:lineRule="auto"/>
        <w:rPr>
          <w:rFonts w:ascii="Tahoma" w:hAnsi="Tahoma" w:cs="Tahoma"/>
          <w:szCs w:val="24"/>
        </w:rPr>
      </w:pPr>
    </w:p>
    <w:p w14:paraId="6754BCBA" w14:textId="77777777" w:rsidR="005B28AA" w:rsidRDefault="005B28AA" w:rsidP="005B28AA">
      <w:pPr>
        <w:spacing w:before="120" w:line="276" w:lineRule="auto"/>
        <w:rPr>
          <w:rFonts w:ascii="Tahoma" w:hAnsi="Tahoma" w:cs="Tahoma"/>
          <w:szCs w:val="24"/>
        </w:rPr>
      </w:pPr>
    </w:p>
    <w:p w14:paraId="38D92554" w14:textId="77777777" w:rsidR="005B28AA" w:rsidRDefault="005B28AA" w:rsidP="005B28AA">
      <w:pPr>
        <w:spacing w:before="120" w:line="276" w:lineRule="auto"/>
        <w:rPr>
          <w:rFonts w:ascii="Tahoma" w:hAnsi="Tahoma" w:cs="Tahoma"/>
          <w:szCs w:val="24"/>
        </w:rPr>
      </w:pPr>
    </w:p>
    <w:p w14:paraId="7D79E7B8" w14:textId="77777777" w:rsidR="005B28AA" w:rsidRDefault="005B28AA" w:rsidP="005B28AA">
      <w:pPr>
        <w:spacing w:before="120" w:line="276" w:lineRule="auto"/>
        <w:rPr>
          <w:rFonts w:ascii="Tahoma" w:hAnsi="Tahoma" w:cs="Tahoma"/>
          <w:szCs w:val="24"/>
        </w:rPr>
      </w:pPr>
    </w:p>
    <w:p w14:paraId="48BB86BD" w14:textId="77777777" w:rsidR="005B28AA" w:rsidRDefault="005B28AA" w:rsidP="005B28AA">
      <w:pPr>
        <w:spacing w:before="120" w:line="276" w:lineRule="auto"/>
        <w:rPr>
          <w:rFonts w:ascii="Tahoma" w:hAnsi="Tahoma" w:cs="Tahoma"/>
          <w:szCs w:val="24"/>
        </w:rPr>
      </w:pPr>
    </w:p>
    <w:p w14:paraId="5D2CD51A" w14:textId="77777777" w:rsidR="005B28AA" w:rsidRPr="005B28AA" w:rsidRDefault="005B28AA" w:rsidP="005B28AA">
      <w:pPr>
        <w:spacing w:before="120" w:line="276" w:lineRule="auto"/>
        <w:rPr>
          <w:rFonts w:ascii="Tahoma" w:hAnsi="Tahoma" w:cs="Tahoma"/>
          <w:szCs w:val="24"/>
        </w:rPr>
      </w:pPr>
    </w:p>
    <w:p w14:paraId="1BF83B7C" w14:textId="77777777" w:rsidR="005B28AA" w:rsidRPr="005B28AA" w:rsidRDefault="005B28AA" w:rsidP="005B28AA">
      <w:pPr>
        <w:spacing w:before="120" w:line="276" w:lineRule="auto"/>
        <w:rPr>
          <w:rFonts w:ascii="Tahoma" w:hAnsi="Tahoma" w:cs="Tahoma"/>
          <w:szCs w:val="24"/>
        </w:rPr>
      </w:pPr>
    </w:p>
    <w:p w14:paraId="1D0ED340" w14:textId="77777777" w:rsidR="005B28AA" w:rsidRPr="005B28AA" w:rsidRDefault="005B28AA" w:rsidP="005B28AA">
      <w:pPr>
        <w:spacing w:before="120" w:line="276" w:lineRule="auto"/>
        <w:jc w:val="center"/>
        <w:rPr>
          <w:rFonts w:ascii="Tahoma" w:hAnsi="Tahoma" w:cs="Tahoma"/>
          <w:b/>
          <w:szCs w:val="24"/>
        </w:rPr>
      </w:pPr>
      <w:r w:rsidRPr="005B28AA">
        <w:rPr>
          <w:rFonts w:ascii="Tahoma" w:hAnsi="Tahoma" w:cs="Tahoma"/>
          <w:b/>
          <w:szCs w:val="24"/>
        </w:rPr>
        <w:t>Uzasadnienie</w:t>
      </w:r>
    </w:p>
    <w:p w14:paraId="5CCAF180" w14:textId="77777777" w:rsidR="005B28AA" w:rsidRPr="005B28AA" w:rsidRDefault="005B28AA" w:rsidP="005B28AA">
      <w:pPr>
        <w:spacing w:before="120" w:line="276" w:lineRule="auto"/>
        <w:jc w:val="center"/>
        <w:rPr>
          <w:rFonts w:ascii="Tahoma" w:hAnsi="Tahoma" w:cs="Tahoma"/>
          <w:szCs w:val="24"/>
        </w:rPr>
      </w:pPr>
    </w:p>
    <w:p w14:paraId="709F9EA1" w14:textId="77777777" w:rsidR="005B28AA" w:rsidRPr="005B28AA" w:rsidRDefault="005B28AA" w:rsidP="005B28AA">
      <w:pPr>
        <w:pStyle w:val="Akapitzlist"/>
        <w:spacing w:before="120" w:line="276" w:lineRule="auto"/>
        <w:ind w:left="0"/>
        <w:jc w:val="both"/>
        <w:rPr>
          <w:rFonts w:ascii="Tahoma" w:hAnsi="Tahoma" w:cs="Tahoma"/>
          <w:b/>
          <w:sz w:val="24"/>
          <w:szCs w:val="24"/>
        </w:rPr>
      </w:pPr>
      <w:r w:rsidRPr="005B28AA">
        <w:rPr>
          <w:rFonts w:ascii="Tahoma" w:hAnsi="Tahoma" w:cs="Tahoma"/>
          <w:b/>
          <w:sz w:val="24"/>
          <w:szCs w:val="24"/>
        </w:rPr>
        <w:t>Cel ustawy</w:t>
      </w:r>
    </w:p>
    <w:p w14:paraId="36956C3E" w14:textId="77777777" w:rsidR="005B28AA" w:rsidRPr="005B28AA" w:rsidRDefault="005B28AA" w:rsidP="005B28AA">
      <w:pPr>
        <w:pStyle w:val="NIEARTTEKSTtekstnieartykuowanynppodstprawnarozplubpreambua"/>
        <w:spacing w:line="276" w:lineRule="auto"/>
        <w:ind w:firstLine="0"/>
        <w:rPr>
          <w:rFonts w:ascii="Tahoma" w:hAnsi="Tahoma" w:cs="Tahoma"/>
          <w:szCs w:val="24"/>
        </w:rPr>
      </w:pPr>
      <w:r w:rsidRPr="005B28AA">
        <w:rPr>
          <w:rFonts w:ascii="Tahoma" w:hAnsi="Tahoma" w:cs="Tahoma"/>
          <w:szCs w:val="24"/>
        </w:rPr>
        <w:t>Celem projektowanej ustawy jest wprowadzenie do ustawy z dnia 23 listopada 2012 r. – Prawo pocztowe (Dz. U. z 2023 r. poz. 1640), dalej: Prawo pocztowe, przepisów umożliwiających udzielenie Poczcie Polskiej S.A., dalej także: Spółka, jako operatorowi wyznaczonemu, o którym mowa w art. 3 pkt 13 Prawa pocztowego, wstępnej płatności na poczet finansowania kosztu netto obowiązku świadczenia usług powszechnych.</w:t>
      </w:r>
    </w:p>
    <w:p w14:paraId="1D6653C7" w14:textId="77777777" w:rsidR="005B28AA" w:rsidRPr="005B28AA" w:rsidRDefault="005B28AA" w:rsidP="005B28AA">
      <w:pPr>
        <w:spacing w:before="120" w:line="276" w:lineRule="auto"/>
        <w:rPr>
          <w:rFonts w:ascii="Tahoma" w:hAnsi="Tahoma" w:cs="Tahoma"/>
          <w:szCs w:val="24"/>
        </w:rPr>
      </w:pPr>
    </w:p>
    <w:p w14:paraId="79A8B72E" w14:textId="77777777" w:rsidR="005B28AA" w:rsidRPr="005B28AA" w:rsidRDefault="005B28AA" w:rsidP="005B28AA">
      <w:pPr>
        <w:pStyle w:val="NIEARTTEKSTtekstnieartykuowanynppodstprawnarozplubpreambua"/>
        <w:spacing w:line="276" w:lineRule="auto"/>
        <w:ind w:firstLine="0"/>
        <w:rPr>
          <w:rFonts w:ascii="Tahoma" w:hAnsi="Tahoma" w:cs="Tahoma"/>
          <w:b/>
          <w:szCs w:val="24"/>
        </w:rPr>
      </w:pPr>
      <w:r w:rsidRPr="005B28AA">
        <w:rPr>
          <w:rFonts w:ascii="Tahoma" w:hAnsi="Tahoma" w:cs="Tahoma"/>
          <w:b/>
          <w:szCs w:val="24"/>
        </w:rPr>
        <w:t>Uzasadnienie konieczności wprowadzenia zmiany</w:t>
      </w:r>
    </w:p>
    <w:p w14:paraId="58886143" w14:textId="77777777" w:rsidR="005B28AA" w:rsidRPr="005B28AA" w:rsidRDefault="005B28AA" w:rsidP="005B28AA">
      <w:pPr>
        <w:pStyle w:val="NIEARTTEKSTtekstnieartykuowanynppodstprawnarozplubpreambua"/>
        <w:spacing w:line="276" w:lineRule="auto"/>
        <w:ind w:firstLine="0"/>
        <w:rPr>
          <w:rFonts w:ascii="Tahoma" w:hAnsi="Tahoma" w:cs="Tahoma"/>
          <w:szCs w:val="24"/>
        </w:rPr>
      </w:pPr>
      <w:r w:rsidRPr="005B28AA">
        <w:rPr>
          <w:rFonts w:ascii="Tahoma" w:hAnsi="Tahoma" w:cs="Tahoma"/>
          <w:szCs w:val="24"/>
        </w:rPr>
        <w:t>W ustawie z dnia 15 września 2022 r. o zmianie ustawy – Prawo pocztowe (Dz. U. poz. 2042), dalej: ustawa</w:t>
      </w:r>
      <w:r w:rsidRPr="005B28AA" w:rsidDel="00FF7D06">
        <w:rPr>
          <w:rFonts w:ascii="Tahoma" w:hAnsi="Tahoma" w:cs="Tahoma"/>
          <w:szCs w:val="24"/>
        </w:rPr>
        <w:t xml:space="preserve"> </w:t>
      </w:r>
      <w:r w:rsidRPr="005B28AA">
        <w:rPr>
          <w:rFonts w:ascii="Tahoma" w:hAnsi="Tahoma" w:cs="Tahoma"/>
          <w:szCs w:val="24"/>
        </w:rPr>
        <w:t xml:space="preserve">zmieniająca Prawo pocztowe (2022) dokonana została zmiana mechanizmu finansowania kosztu netto, spełniającego warunki określone </w:t>
      </w:r>
      <w:r>
        <w:rPr>
          <w:rFonts w:ascii="Tahoma" w:hAnsi="Tahoma" w:cs="Tahoma"/>
          <w:szCs w:val="24"/>
        </w:rPr>
        <w:br/>
      </w:r>
      <w:r w:rsidRPr="005B28AA">
        <w:rPr>
          <w:rFonts w:ascii="Tahoma" w:hAnsi="Tahoma" w:cs="Tahoma"/>
          <w:szCs w:val="24"/>
        </w:rPr>
        <w:t xml:space="preserve">w Dyrektywie 97/67/WE Parlamentu Europejskiego i Rady z dnia 15 grudnia 1997 r. </w:t>
      </w:r>
      <w:r>
        <w:rPr>
          <w:rFonts w:ascii="Tahoma" w:hAnsi="Tahoma" w:cs="Tahoma"/>
          <w:szCs w:val="24"/>
        </w:rPr>
        <w:br/>
      </w:r>
      <w:r w:rsidRPr="005B28AA">
        <w:rPr>
          <w:rFonts w:ascii="Tahoma" w:hAnsi="Tahoma" w:cs="Tahoma"/>
          <w:szCs w:val="24"/>
        </w:rPr>
        <w:t xml:space="preserve">w sprawie wspólnych zasad rozwoju rynku wewnętrznego usług pocztowych Wspólnoty oraz poprawy jakości usług (Dz. U. UE L/15 z 21.01.1998, str. 14) oraz Dyrektywy Parlamentu Europejskiego i Rady 2008/6/WE z dnia 20 lutego 2008 r. zmieniającej dyrektywę 97/67/WE w odniesieniu do pełnego urzeczywistnienia rynku wewnętrznego usług pocztowych Wspólnoty (Dz. U. UE L 52 z 27.2.2008, str. 3). Zmiana ta, upraszczająca procedurę udzielenia finansowania kosztu netto, polegała na likwidacji funduszu kompensacyjnego (pochodzącego z wpłat operatorów pocztowych, świadczących usługi powszechne lub usługi wchodzące w zakres usług powszechnych, których przychód z tych usług w roku obrotowym, za który jest ustalana dopłata, przekroczył 1 mln zł – w tym od samego operatora wyznaczonego) oraz wprowadzeniu finansowania kosztu netto w formie dotacji celowej. Wprowadzono przy tym zastrzeżenie, że finansowanie kosztu netto stanowi pomoc publiczną, która może być udzielona zgodnie z postanowieniami zawartymi w decyzji Komisji Europejskiej, dalej: KE, wydanej w wyniku notyfikacji, w okresie obowiązywania tej decyzji. </w:t>
      </w:r>
    </w:p>
    <w:p w14:paraId="0308236E" w14:textId="77777777" w:rsidR="005B28AA" w:rsidRPr="005B28AA" w:rsidRDefault="005B28AA" w:rsidP="005B28AA">
      <w:pPr>
        <w:spacing w:before="120" w:line="276" w:lineRule="auto"/>
        <w:rPr>
          <w:rFonts w:ascii="Tahoma" w:hAnsi="Tahoma" w:cs="Tahoma"/>
          <w:szCs w:val="24"/>
        </w:rPr>
      </w:pPr>
    </w:p>
    <w:p w14:paraId="6A43EF80"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Zgodnie z art. 109 ust. 4 Prawa pocztowego, finansowanie kosztu netto obowiązku świadczenia usług powszechnych stanowi pomoc publiczną, która może być udzielona zgodnie z postanowieniami zawartymi w decyzji KE, wydanej w wyniku notyfikacji, </w:t>
      </w:r>
      <w:r>
        <w:rPr>
          <w:rFonts w:ascii="Tahoma" w:hAnsi="Tahoma" w:cs="Tahoma"/>
          <w:szCs w:val="24"/>
        </w:rPr>
        <w:br/>
      </w:r>
      <w:r w:rsidRPr="005B28AA">
        <w:rPr>
          <w:rFonts w:ascii="Tahoma" w:hAnsi="Tahoma" w:cs="Tahoma"/>
          <w:szCs w:val="24"/>
        </w:rPr>
        <w:t xml:space="preserve">w okresie obowiązywania tej decyzji. Jednocześnie, zgodnie z art. 112 ust. 5 Prawa pocztowego, Prezes Urzędu Komunikacji Elektronicznej, dalej: UKE, w terminie </w:t>
      </w:r>
      <w:r>
        <w:rPr>
          <w:rFonts w:ascii="Tahoma" w:hAnsi="Tahoma" w:cs="Tahoma"/>
          <w:szCs w:val="24"/>
        </w:rPr>
        <w:br/>
      </w:r>
      <w:r w:rsidRPr="005B28AA">
        <w:rPr>
          <w:rFonts w:ascii="Tahoma" w:hAnsi="Tahoma" w:cs="Tahoma"/>
          <w:szCs w:val="24"/>
        </w:rPr>
        <w:t xml:space="preserve">4 miesięcy od dnia otrzymania wniosku o uruchomienie finansowania kosztu netto wydaje – po weryfikacji wniosku i załączonych dokumentów, o których mowa </w:t>
      </w:r>
      <w:r>
        <w:rPr>
          <w:rFonts w:ascii="Tahoma" w:hAnsi="Tahoma" w:cs="Tahoma"/>
          <w:szCs w:val="24"/>
        </w:rPr>
        <w:br/>
      </w:r>
      <w:r w:rsidRPr="005B28AA">
        <w:rPr>
          <w:rFonts w:ascii="Tahoma" w:hAnsi="Tahoma" w:cs="Tahoma"/>
          <w:szCs w:val="24"/>
        </w:rPr>
        <w:lastRenderedPageBreak/>
        <w:t>w art. 112 ust. 1 Prawa pocztowego przez niezależnego biegłego rewidenta – decyzję, w której określa kwotę zweryfikowanego kosztu netto i straty na usługach powszechnych, o której mowa w art. 109 ust. 2 Prawa pocztowego, oraz ustala kwotę należnego finansowania kosztu netto.</w:t>
      </w:r>
    </w:p>
    <w:p w14:paraId="4B47F8B6" w14:textId="77777777" w:rsidR="005B28AA" w:rsidRPr="005B28AA" w:rsidRDefault="005B28AA" w:rsidP="005B28AA">
      <w:pPr>
        <w:pStyle w:val="NIEARTTEKSTtekstnieartykuowanynppodstprawnarozplubpreambua"/>
        <w:spacing w:line="276" w:lineRule="auto"/>
        <w:ind w:firstLine="0"/>
        <w:rPr>
          <w:rFonts w:ascii="Tahoma" w:hAnsi="Tahoma" w:cs="Tahoma"/>
          <w:szCs w:val="24"/>
        </w:rPr>
      </w:pPr>
      <w:r w:rsidRPr="005B28AA">
        <w:rPr>
          <w:rFonts w:ascii="Tahoma" w:hAnsi="Tahoma" w:cs="Tahoma"/>
          <w:szCs w:val="24"/>
        </w:rPr>
        <w:t xml:space="preserve">W dniu 2 grudnia 2022 r. Polska notyfikowała KE program pomocowy, przewidujący udzielenie Poczcie Polskiej S.A. pomocy publicznej polegającej na finansowaniu kosztu netto za lata 2021–2025 w łącznej kwocie 3 243 mln zł. Planowane kwoty za poszczególne lata wynikają wprost z art. 5 ust. 1 ustawy zmieniającej Prawo pocztowe (2022). </w:t>
      </w:r>
    </w:p>
    <w:p w14:paraId="231D4E96" w14:textId="77777777" w:rsidR="005B28AA" w:rsidRPr="005B28AA" w:rsidRDefault="005B28AA" w:rsidP="005B28AA">
      <w:pPr>
        <w:spacing w:before="120" w:line="276" w:lineRule="auto"/>
        <w:jc w:val="both"/>
        <w:rPr>
          <w:rFonts w:ascii="Tahoma" w:hAnsi="Tahoma" w:cs="Tahoma"/>
          <w:szCs w:val="24"/>
        </w:rPr>
      </w:pPr>
    </w:p>
    <w:p w14:paraId="365C9C9F"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Prezes UKE ocenił, że nie może wydać powyższej decyzji w oparciu o przekazany stronie polskiej w dniu 22 listopada 2023 r. tzw. </w:t>
      </w:r>
      <w:r w:rsidRPr="005B28AA">
        <w:rPr>
          <w:rFonts w:ascii="Tahoma" w:hAnsi="Tahoma" w:cs="Tahoma"/>
          <w:i/>
          <w:szCs w:val="24"/>
        </w:rPr>
        <w:t>comfort letter</w:t>
      </w:r>
      <w:r w:rsidRPr="005B28AA">
        <w:rPr>
          <w:rFonts w:ascii="Tahoma" w:hAnsi="Tahoma" w:cs="Tahoma"/>
          <w:szCs w:val="24"/>
        </w:rPr>
        <w:t xml:space="preserve">. W dokumencie tym KE potwierdziła wstępną, nieformalną ocenę pomocy publicznej polegającą na finansowaniu kosztu netto w latach 2021–2025 jako zgodną z prawem Unii Europejskiej, dalej: UE, oraz wskazała, że ewentualna wypłata kosztu netto za 2021 </w:t>
      </w:r>
      <w:r>
        <w:rPr>
          <w:rFonts w:ascii="Tahoma" w:hAnsi="Tahoma" w:cs="Tahoma"/>
          <w:szCs w:val="24"/>
        </w:rPr>
        <w:br/>
      </w:r>
      <w:r w:rsidRPr="005B28AA">
        <w:rPr>
          <w:rFonts w:ascii="Tahoma" w:hAnsi="Tahoma" w:cs="Tahoma"/>
          <w:szCs w:val="24"/>
        </w:rPr>
        <w:t xml:space="preserve">i 2022 r. przed wydaniem decyzji KE może zostać uznana za wstępną (tymczasową) płatność częściową. Zgodnie z intencją KE, dokument ten miał pozwolić na udzielenie Poczcie Polskiej finansowania kosztu netto za 2021 i 2022 r. </w:t>
      </w:r>
    </w:p>
    <w:p w14:paraId="19F14838"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Zdaniem Prezesa UKE status </w:t>
      </w:r>
      <w:r w:rsidRPr="005B28AA">
        <w:rPr>
          <w:rFonts w:ascii="Tahoma" w:hAnsi="Tahoma" w:cs="Tahoma"/>
          <w:i/>
          <w:szCs w:val="24"/>
        </w:rPr>
        <w:t>comfort letter</w:t>
      </w:r>
      <w:r w:rsidRPr="005B28AA">
        <w:rPr>
          <w:rFonts w:ascii="Tahoma" w:hAnsi="Tahoma" w:cs="Tahoma"/>
          <w:szCs w:val="24"/>
        </w:rPr>
        <w:t xml:space="preserve"> nie został uregulowany w przepisach prawa unijnego o randze traktatowej ani w przepisach prawa pochodnego, a przedstawiony Polsce dokument nie zawiera ostatecznego rozstrzygnięcia sprawy. Jednocześnie Prezes UKE wskazał, że w jego ocenie literalne brzmienie art. 109 ust. 4 Prawa pocztowego uzależnia wydanie przez niego decyzji określającej kwotę zweryfikowanego kosztu netto i straty na usłudze powszechnej oraz ustalającej kwotę należnego finansowania kosztu netto od uprzedniego wydania przez KE decyzji potwierdzającej zgodność planowanej pomocy publicznej z prawem UE.</w:t>
      </w:r>
    </w:p>
    <w:p w14:paraId="586C589F"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Mając na uwadze przedłużające się postępowanie notyfikacyjne przed KE dotyczące finansowania kosztu netto za lata 2021–2025 oraz stanowisko Prezesa UKE, według którego nie jest możliwe wydanie decyzji, o której mowa w art. 112 ust. 5 Prawa pocztowego, bez wydanej uprzednio decyzji KE, konieczne jest wprowadzenie mechanizmu wstępnej płatności na poczet finansowania kosztu netto obowiązku świadczenia usług powszechnych, która może zostać uruchomiona przed wydaniem decyzji KE, o której mowa w art. 109 ust. 4. Mechanizm ten będzie zapobiegał występowaniu opóźnień płatności w związku z następnymi notyfikacjami finansowania kosztu netto (z których pierwsza powinna nastąpić już w 2025 r., w związku powierzeniem operatorowi wyznaczonemu wybranemu przez Prezesa UKE w drodze konkursu, o którym mowa w art. 71 Prawa pocztowego, obowiązku świadczenia usług powszechnych w latach 2026–2035).</w:t>
      </w:r>
    </w:p>
    <w:p w14:paraId="4F90A227"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Mechanizm wstępnej płatności został już przewidziany w aktualnie prowadzonym </w:t>
      </w:r>
      <w:r w:rsidRPr="005B28AA">
        <w:rPr>
          <w:rFonts w:ascii="Tahoma" w:hAnsi="Tahoma" w:cs="Tahoma"/>
          <w:szCs w:val="24"/>
        </w:rPr>
        <w:lastRenderedPageBreak/>
        <w:t xml:space="preserve">postępowaniu notyfikacyjnym przez </w:t>
      </w:r>
      <w:r w:rsidRPr="005B28AA">
        <w:rPr>
          <w:rFonts w:ascii="Tahoma" w:hAnsi="Tahoma" w:cs="Tahoma"/>
          <w:bCs/>
          <w:szCs w:val="24"/>
        </w:rPr>
        <w:t xml:space="preserve">KE w ww. </w:t>
      </w:r>
      <w:r w:rsidRPr="005B28AA">
        <w:rPr>
          <w:rFonts w:ascii="Tahoma" w:hAnsi="Tahoma" w:cs="Tahoma"/>
          <w:bCs/>
          <w:i/>
          <w:szCs w:val="24"/>
        </w:rPr>
        <w:t>comfort letter</w:t>
      </w:r>
      <w:r w:rsidRPr="005B28AA">
        <w:rPr>
          <w:rFonts w:ascii="Tahoma" w:hAnsi="Tahoma" w:cs="Tahoma"/>
          <w:bCs/>
          <w:szCs w:val="24"/>
        </w:rPr>
        <w:t xml:space="preserve">. Dotyczy on jednak okresu za lata 2021 i 2022 r. </w:t>
      </w:r>
      <w:r w:rsidRPr="005B28AA">
        <w:rPr>
          <w:rFonts w:ascii="Tahoma" w:hAnsi="Tahoma" w:cs="Tahoma"/>
          <w:szCs w:val="24"/>
        </w:rPr>
        <w:t xml:space="preserve">Biorąc pod uwagę przedłużające się postępowania prowadzone przez KE oraz przez Prezesa UKE, zasadne jest wprowadzenie w niniejszej ustawie możliwości udzielenia operatorowi wyznaczonemu wstępnej płatności na poczet finansowania kosztu netto za w formie dotacji celowej, o której mowa w art. 127 ustawy z dnia 27 sierpnia 2009 r. o finansach publicznych (Dz. U. z 2023 r. poz. 1270 z późn. zm.). Projektowana regulacja pozwoli na zapewnienie płatności z tytułu finansowania kosztu netto każdemu operatorowi wyznaczonemu w racjonalnym terminie, tak aby zapobiec ewentualnemu pogorszeniu się jego sytuacji finansowej, </w:t>
      </w:r>
      <w:r>
        <w:rPr>
          <w:rFonts w:ascii="Tahoma" w:hAnsi="Tahoma" w:cs="Tahoma"/>
          <w:szCs w:val="24"/>
        </w:rPr>
        <w:br/>
      </w:r>
      <w:r w:rsidRPr="005B28AA">
        <w:rPr>
          <w:rFonts w:ascii="Tahoma" w:hAnsi="Tahoma" w:cs="Tahoma"/>
          <w:szCs w:val="24"/>
        </w:rPr>
        <w:t>w wyniku realizacji obowiązku świadczenia usługi powszechnej.</w:t>
      </w:r>
    </w:p>
    <w:p w14:paraId="7AA99C90" w14:textId="77777777" w:rsidR="005B28AA" w:rsidRPr="005B28AA" w:rsidRDefault="005B28AA" w:rsidP="005B28AA">
      <w:pPr>
        <w:tabs>
          <w:tab w:val="left" w:pos="851"/>
        </w:tabs>
        <w:spacing w:before="120" w:line="276" w:lineRule="auto"/>
        <w:jc w:val="both"/>
        <w:rPr>
          <w:rFonts w:ascii="Tahoma" w:hAnsi="Tahoma" w:cs="Tahoma"/>
          <w:b/>
          <w:szCs w:val="24"/>
        </w:rPr>
      </w:pPr>
      <w:r w:rsidRPr="005B28AA">
        <w:rPr>
          <w:rFonts w:ascii="Tahoma" w:hAnsi="Tahoma" w:cs="Tahoma"/>
          <w:b/>
          <w:szCs w:val="24"/>
        </w:rPr>
        <w:t>Opis proponowanych zmian</w:t>
      </w:r>
    </w:p>
    <w:p w14:paraId="57E83DD1" w14:textId="77777777" w:rsidR="005B28AA" w:rsidRPr="005B28AA" w:rsidRDefault="005B28AA" w:rsidP="005B28AA">
      <w:pPr>
        <w:pStyle w:val="Akapitzlist"/>
        <w:tabs>
          <w:tab w:val="left" w:pos="851"/>
        </w:tabs>
        <w:spacing w:before="120" w:line="276" w:lineRule="auto"/>
        <w:ind w:left="0"/>
        <w:jc w:val="both"/>
        <w:rPr>
          <w:rFonts w:ascii="Tahoma" w:hAnsi="Tahoma" w:cs="Tahoma"/>
          <w:sz w:val="24"/>
          <w:szCs w:val="24"/>
        </w:rPr>
      </w:pPr>
      <w:r w:rsidRPr="005B28AA">
        <w:rPr>
          <w:rFonts w:ascii="Tahoma" w:hAnsi="Tahoma" w:cs="Tahoma"/>
          <w:sz w:val="24"/>
          <w:szCs w:val="24"/>
        </w:rPr>
        <w:t xml:space="preserve">Zgodnie z projektowaną ustawą, minister właściwy do spraw łączności może uruchomić wstępną płatność na poczet finansowania kosztu netto świadczenia usług powszechnych przed wydaniem decyzji KE, o której mowa w art. 109 ust. 4. Wstępna płatność na poczet finansowania kosztu netto świadczenia usług powszechnych jest finansowana z budżetu państwa w formie dotacji celowej, na zasadach określonych </w:t>
      </w:r>
      <w:r>
        <w:rPr>
          <w:rFonts w:ascii="Tahoma" w:hAnsi="Tahoma" w:cs="Tahoma"/>
          <w:sz w:val="24"/>
          <w:szCs w:val="24"/>
        </w:rPr>
        <w:br/>
      </w:r>
      <w:r w:rsidRPr="005B28AA">
        <w:rPr>
          <w:rFonts w:ascii="Tahoma" w:hAnsi="Tahoma" w:cs="Tahoma"/>
          <w:sz w:val="24"/>
          <w:szCs w:val="24"/>
        </w:rPr>
        <w:t>w ustawie z dnia 27 sierpnia 2009 r. o finansach publicznych (Dz. U. z 2023 r. poz. 1270, z późn. zm.), dalej: ustawa o finansach publicznych.</w:t>
      </w:r>
    </w:p>
    <w:p w14:paraId="03985E5C" w14:textId="77777777" w:rsidR="005B28AA" w:rsidRPr="005B28AA" w:rsidRDefault="005B28AA" w:rsidP="005B28AA">
      <w:pPr>
        <w:tabs>
          <w:tab w:val="left" w:pos="851"/>
        </w:tabs>
        <w:spacing w:before="120" w:line="276" w:lineRule="auto"/>
        <w:jc w:val="both"/>
        <w:rPr>
          <w:rFonts w:ascii="Tahoma" w:hAnsi="Tahoma" w:cs="Tahoma"/>
          <w:szCs w:val="24"/>
        </w:rPr>
      </w:pPr>
      <w:r w:rsidRPr="005B28AA">
        <w:rPr>
          <w:rFonts w:ascii="Tahoma" w:hAnsi="Tahoma" w:cs="Tahoma"/>
          <w:szCs w:val="24"/>
        </w:rPr>
        <w:t>Uruchomienie przez ministra właściwego do spraw łączności wstępnej płatności może nastąpić po uzyskaniu informacji o kwocie kosztu netto oraz straty, o której mowa w art. 109 ust. 2 , zweryfikowanych przez niezależnego biegłego rewidenta, przekazanych przez Prezesa UKE na wniosek ministra właściwego do spraw łączności.</w:t>
      </w:r>
    </w:p>
    <w:p w14:paraId="0768A453" w14:textId="77777777" w:rsidR="005B28AA" w:rsidRPr="005B28AA" w:rsidRDefault="005B28AA" w:rsidP="005B28AA">
      <w:pPr>
        <w:tabs>
          <w:tab w:val="left" w:pos="851"/>
        </w:tabs>
        <w:spacing w:before="120" w:line="276" w:lineRule="auto"/>
        <w:jc w:val="both"/>
        <w:rPr>
          <w:rFonts w:ascii="Tahoma" w:hAnsi="Tahoma" w:cs="Tahoma"/>
          <w:szCs w:val="24"/>
        </w:rPr>
      </w:pPr>
      <w:r w:rsidRPr="005B28AA">
        <w:rPr>
          <w:rFonts w:ascii="Tahoma" w:hAnsi="Tahoma" w:cs="Tahoma"/>
          <w:szCs w:val="24"/>
        </w:rPr>
        <w:t xml:space="preserve">W projekcie ustawy wprowadzono także obowiązek Prezesa UKE przekazania informacji, o których mowa w art. 109 ust. 2 Prawa pocztowego, w terminie 7 dni od otrzymania wniosku ministra właściwego do spraw łączności. </w:t>
      </w:r>
    </w:p>
    <w:p w14:paraId="5474C0C5" w14:textId="77777777" w:rsidR="005B28AA" w:rsidRPr="005B28AA" w:rsidRDefault="005B28AA" w:rsidP="005B28AA">
      <w:pPr>
        <w:tabs>
          <w:tab w:val="left" w:pos="851"/>
        </w:tabs>
        <w:spacing w:before="120" w:line="276" w:lineRule="auto"/>
        <w:jc w:val="both"/>
        <w:rPr>
          <w:rFonts w:ascii="Tahoma" w:hAnsi="Tahoma" w:cs="Tahoma"/>
          <w:szCs w:val="24"/>
        </w:rPr>
      </w:pPr>
      <w:r w:rsidRPr="005B28AA">
        <w:rPr>
          <w:rFonts w:ascii="Tahoma" w:hAnsi="Tahoma" w:cs="Tahoma"/>
          <w:szCs w:val="24"/>
        </w:rPr>
        <w:t xml:space="preserve">Maksymalna wstępna płatność nie może przekroczyć określonej w wyniku weryfikacji przeprowadzonej zgodnie z art. 112 ust. 3  Prawa pocztowego kwoty kosztu netto, </w:t>
      </w:r>
      <w:r>
        <w:rPr>
          <w:rFonts w:ascii="Tahoma" w:hAnsi="Tahoma" w:cs="Tahoma"/>
          <w:szCs w:val="24"/>
        </w:rPr>
        <w:br/>
      </w:r>
      <w:r w:rsidRPr="005B28AA">
        <w:rPr>
          <w:rFonts w:ascii="Tahoma" w:hAnsi="Tahoma" w:cs="Tahoma"/>
          <w:szCs w:val="24"/>
        </w:rPr>
        <w:t xml:space="preserve">a w przypadku gdy kwota ta jest wyższa od kwoty straty, o której mowa </w:t>
      </w:r>
      <w:r>
        <w:rPr>
          <w:rFonts w:ascii="Tahoma" w:hAnsi="Tahoma" w:cs="Tahoma"/>
          <w:szCs w:val="24"/>
        </w:rPr>
        <w:br/>
      </w:r>
      <w:r w:rsidRPr="005B28AA">
        <w:rPr>
          <w:rFonts w:ascii="Tahoma" w:hAnsi="Tahoma" w:cs="Tahoma"/>
          <w:szCs w:val="24"/>
        </w:rPr>
        <w:t>w art. 109 ust. 2 – kwoty tej straty.</w:t>
      </w:r>
    </w:p>
    <w:p w14:paraId="1E141D62" w14:textId="77777777" w:rsidR="005B28AA" w:rsidRPr="005B28AA" w:rsidRDefault="005B28AA" w:rsidP="005B28AA">
      <w:pPr>
        <w:pStyle w:val="Akapitzlist"/>
        <w:tabs>
          <w:tab w:val="left" w:pos="851"/>
        </w:tabs>
        <w:spacing w:before="120" w:line="276" w:lineRule="auto"/>
        <w:ind w:left="0"/>
        <w:jc w:val="both"/>
        <w:rPr>
          <w:rFonts w:ascii="Tahoma" w:hAnsi="Tahoma" w:cs="Tahoma"/>
          <w:sz w:val="24"/>
          <w:szCs w:val="24"/>
        </w:rPr>
      </w:pPr>
      <w:r w:rsidRPr="005B28AA">
        <w:rPr>
          <w:rFonts w:ascii="Tahoma" w:hAnsi="Tahoma" w:cs="Tahoma"/>
          <w:sz w:val="24"/>
          <w:szCs w:val="24"/>
        </w:rPr>
        <w:t>Wstępna płatność na poczet finansowania kosztu netto świadczenia usług powszechnych zostanie udzielona przez ministra właściwego do spraw łączności ze środków budżetu państwa zaplanowanych na poszczególne lata.</w:t>
      </w:r>
    </w:p>
    <w:p w14:paraId="04B80DF3" w14:textId="77777777" w:rsidR="005B28AA" w:rsidRPr="005B28AA" w:rsidRDefault="005B28AA" w:rsidP="005B28AA">
      <w:pPr>
        <w:pStyle w:val="Akapitzlist"/>
        <w:tabs>
          <w:tab w:val="left" w:pos="851"/>
        </w:tabs>
        <w:spacing w:before="120" w:line="276" w:lineRule="auto"/>
        <w:jc w:val="both"/>
        <w:rPr>
          <w:rFonts w:ascii="Tahoma" w:hAnsi="Tahoma" w:cs="Tahoma"/>
          <w:sz w:val="24"/>
          <w:szCs w:val="24"/>
        </w:rPr>
      </w:pPr>
    </w:p>
    <w:p w14:paraId="23FBD27C" w14:textId="77777777" w:rsidR="005B28AA" w:rsidRPr="005B28AA" w:rsidRDefault="005B28AA" w:rsidP="005B28AA">
      <w:pPr>
        <w:pStyle w:val="Akapitzlist"/>
        <w:tabs>
          <w:tab w:val="left" w:pos="851"/>
        </w:tabs>
        <w:spacing w:before="120" w:line="276" w:lineRule="auto"/>
        <w:ind w:left="0"/>
        <w:jc w:val="both"/>
        <w:rPr>
          <w:rFonts w:ascii="Tahoma" w:hAnsi="Tahoma" w:cs="Tahoma"/>
          <w:sz w:val="24"/>
          <w:szCs w:val="24"/>
        </w:rPr>
      </w:pPr>
      <w:r w:rsidRPr="005B28AA">
        <w:rPr>
          <w:rFonts w:ascii="Tahoma" w:hAnsi="Tahoma" w:cs="Tahoma"/>
          <w:sz w:val="24"/>
          <w:szCs w:val="24"/>
        </w:rPr>
        <w:t xml:space="preserve">Jednocześnie, mając na uwadze konieczność zapewnienia zgodności wydatkowania środków z budżetu państwa z decyzją KE, w projekcie ustawy zobowiązano ministra właściwego do spraw łączności do zweryfikowania zgodności dokonanego finansowania z decyzją KE, o której mowa w art. 109 ust. 4 Prawa pocztowego. </w:t>
      </w:r>
      <w:r>
        <w:rPr>
          <w:rFonts w:ascii="Tahoma" w:hAnsi="Tahoma" w:cs="Tahoma"/>
          <w:sz w:val="24"/>
          <w:szCs w:val="24"/>
        </w:rPr>
        <w:br/>
      </w:r>
      <w:r w:rsidRPr="005B28AA">
        <w:rPr>
          <w:rFonts w:ascii="Tahoma" w:hAnsi="Tahoma" w:cs="Tahoma"/>
          <w:sz w:val="24"/>
          <w:szCs w:val="24"/>
        </w:rPr>
        <w:t xml:space="preserve">W przypadku stwierdzenia niezgodności finansowania z postanowieniami tej decyzji, </w:t>
      </w:r>
      <w:r w:rsidRPr="005B28AA">
        <w:rPr>
          <w:rFonts w:ascii="Tahoma" w:hAnsi="Tahoma" w:cs="Tahoma"/>
          <w:sz w:val="24"/>
          <w:szCs w:val="24"/>
        </w:rPr>
        <w:lastRenderedPageBreak/>
        <w:t>finansowanie będzie podlegało zwrotowi na zasadach określonych w art. 169 ustawy o finansach publicznych.</w:t>
      </w:r>
    </w:p>
    <w:p w14:paraId="0EC6A329" w14:textId="77777777" w:rsidR="005B28AA" w:rsidRPr="005B28AA" w:rsidRDefault="005B28AA" w:rsidP="005B28AA">
      <w:pPr>
        <w:pStyle w:val="Akapitzlist"/>
        <w:spacing w:before="120" w:line="276" w:lineRule="auto"/>
        <w:ind w:left="0"/>
        <w:jc w:val="both"/>
        <w:rPr>
          <w:rFonts w:ascii="Tahoma" w:hAnsi="Tahoma" w:cs="Tahoma"/>
          <w:sz w:val="24"/>
          <w:szCs w:val="24"/>
        </w:rPr>
      </w:pPr>
    </w:p>
    <w:p w14:paraId="756E13A3" w14:textId="77777777" w:rsidR="005B28AA" w:rsidRPr="005B28AA" w:rsidRDefault="005B28AA" w:rsidP="005B28AA">
      <w:pPr>
        <w:pStyle w:val="Akapitzlist"/>
        <w:spacing w:before="120" w:line="276" w:lineRule="auto"/>
        <w:ind w:left="0"/>
        <w:jc w:val="both"/>
        <w:rPr>
          <w:rFonts w:ascii="Tahoma" w:hAnsi="Tahoma" w:cs="Tahoma"/>
          <w:sz w:val="24"/>
          <w:szCs w:val="24"/>
        </w:rPr>
      </w:pPr>
      <w:r w:rsidRPr="005B28AA">
        <w:rPr>
          <w:rFonts w:ascii="Tahoma" w:hAnsi="Tahoma" w:cs="Tahoma"/>
          <w:sz w:val="24"/>
          <w:szCs w:val="24"/>
        </w:rPr>
        <w:t xml:space="preserve">Art. 2 projektu ustawy wprowadza zmianę w art. 5 w ust. 1 pkt 3 i 4 ustawy z dnia </w:t>
      </w:r>
      <w:r>
        <w:rPr>
          <w:rFonts w:ascii="Tahoma" w:hAnsi="Tahoma" w:cs="Tahoma"/>
          <w:sz w:val="24"/>
          <w:szCs w:val="24"/>
        </w:rPr>
        <w:br/>
      </w:r>
      <w:r w:rsidRPr="005B28AA">
        <w:rPr>
          <w:rFonts w:ascii="Tahoma" w:hAnsi="Tahoma" w:cs="Tahoma"/>
          <w:sz w:val="24"/>
          <w:szCs w:val="24"/>
        </w:rPr>
        <w:t xml:space="preserve">15 września 2022 r. o zmianie ustawy – Prawo pocztowe (Dz. U. poz. 2042) przez zmianę maksymalnego limitu wydatków budżetu państwa przeznaczonego na finansowanie kosztu netto obowiązku świadczenia usług powszechnych </w:t>
      </w:r>
      <w:r>
        <w:rPr>
          <w:rFonts w:ascii="Tahoma" w:hAnsi="Tahoma" w:cs="Tahoma"/>
          <w:sz w:val="24"/>
          <w:szCs w:val="24"/>
        </w:rPr>
        <w:br/>
      </w:r>
      <w:r w:rsidRPr="005B28AA">
        <w:rPr>
          <w:rFonts w:ascii="Tahoma" w:hAnsi="Tahoma" w:cs="Tahoma"/>
          <w:sz w:val="24"/>
          <w:szCs w:val="24"/>
        </w:rPr>
        <w:t>w poszczególnych latach:</w:t>
      </w:r>
    </w:p>
    <w:p w14:paraId="1AF459D1" w14:textId="77777777" w:rsidR="005B28AA" w:rsidRPr="005B28AA" w:rsidRDefault="005B28AA" w:rsidP="005B28AA">
      <w:pPr>
        <w:pStyle w:val="Akapitzlist"/>
        <w:numPr>
          <w:ilvl w:val="0"/>
          <w:numId w:val="47"/>
        </w:numPr>
        <w:spacing w:before="120" w:line="276" w:lineRule="auto"/>
        <w:ind w:left="0" w:firstLine="0"/>
        <w:jc w:val="both"/>
        <w:rPr>
          <w:rFonts w:ascii="Tahoma" w:hAnsi="Tahoma" w:cs="Tahoma"/>
          <w:sz w:val="24"/>
          <w:szCs w:val="24"/>
        </w:rPr>
      </w:pPr>
      <w:r w:rsidRPr="005B28AA">
        <w:rPr>
          <w:rFonts w:ascii="Tahoma" w:hAnsi="Tahoma" w:cs="Tahoma"/>
          <w:sz w:val="24"/>
          <w:szCs w:val="24"/>
        </w:rPr>
        <w:t xml:space="preserve">2024 r. – 750 mln zł;  </w:t>
      </w:r>
    </w:p>
    <w:p w14:paraId="2B26554F" w14:textId="77777777" w:rsidR="005B28AA" w:rsidRPr="005B28AA" w:rsidRDefault="005B28AA" w:rsidP="005B28AA">
      <w:pPr>
        <w:pStyle w:val="Akapitzlist"/>
        <w:numPr>
          <w:ilvl w:val="0"/>
          <w:numId w:val="47"/>
        </w:numPr>
        <w:spacing w:before="120" w:line="276" w:lineRule="auto"/>
        <w:ind w:left="0" w:firstLine="0"/>
        <w:jc w:val="both"/>
        <w:rPr>
          <w:rFonts w:ascii="Tahoma" w:hAnsi="Tahoma" w:cs="Tahoma"/>
          <w:sz w:val="24"/>
          <w:szCs w:val="24"/>
        </w:rPr>
      </w:pPr>
      <w:r w:rsidRPr="005B28AA">
        <w:rPr>
          <w:rFonts w:ascii="Tahoma" w:hAnsi="Tahoma" w:cs="Tahoma"/>
          <w:sz w:val="24"/>
          <w:szCs w:val="24"/>
        </w:rPr>
        <w:t xml:space="preserve">2025 r. – 1 244 mln zł. </w:t>
      </w:r>
    </w:p>
    <w:p w14:paraId="78A37BE1"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W zakresie skutków finansowych, projektowana zmiana maksymalnego limitu wydatków budżetu państwa przeznaczonego na finansowanie kosztu netto obowiązku świadczenia usług powszechnych jest niezbędna do udzielenia operatorowi wyznaczonemu należnego finansowania kosztu netto ze środków budżetu państwa na 2024 i 2025 r. Ponieważ zabezpieczone w budżecie państwa na 2023 r. środki na finansowanie kosztu netto za 2021 i 2022 r. nie zostały wypłacone ze względu na brak decyzji KE oraz decyzji Prezesa UKE, konieczne jest zabezpieczenie odpowiednich środków w budżecie państwa na 2024 i 2025 r. W 2024 r. planowane jest wypłacenie środków za 2021 i 2022 r., natomiast w 2025 r. – za 2023 r. (I kwartał) oraz 2024 r. (IV kwartał).</w:t>
      </w:r>
    </w:p>
    <w:p w14:paraId="32D4722E" w14:textId="77777777" w:rsid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Rzeczywisty wzrost limitu wydatków budżetu państwa w latach 2022–2025, wynikający </w:t>
      </w:r>
      <w:r w:rsidRPr="005B28AA">
        <w:rPr>
          <w:rFonts w:ascii="Tahoma" w:hAnsi="Tahoma" w:cs="Tahoma"/>
          <w:szCs w:val="24"/>
        </w:rPr>
        <w:br/>
        <w:t>z przesunięcia terminu dokonania wypłat za poszczególne lata, w stosunku do limitu określonego w ustawie zmieniającej Prawo pocztowe (2022) wynosi łącznie 53 mln zł:</w:t>
      </w:r>
    </w:p>
    <w:p w14:paraId="1B2D29E7" w14:textId="77777777" w:rsidR="005B28AA" w:rsidRPr="005B28AA" w:rsidRDefault="005B28AA" w:rsidP="005B28AA">
      <w:pPr>
        <w:spacing w:before="120" w:line="276" w:lineRule="auto"/>
        <w:jc w:val="both"/>
        <w:rPr>
          <w:rFonts w:ascii="Tahoma" w:hAnsi="Tahoma" w:cs="Tahoma"/>
          <w:szCs w:val="24"/>
        </w:rPr>
      </w:pPr>
    </w:p>
    <w:tbl>
      <w:tblPr>
        <w:tblStyle w:val="Tabela-Siatka"/>
        <w:tblW w:w="9209" w:type="dxa"/>
        <w:tblLook w:val="04A0" w:firstRow="1" w:lastRow="0" w:firstColumn="1" w:lastColumn="0" w:noHBand="0" w:noVBand="1"/>
      </w:tblPr>
      <w:tblGrid>
        <w:gridCol w:w="1575"/>
        <w:gridCol w:w="1496"/>
        <w:gridCol w:w="1496"/>
        <w:gridCol w:w="1497"/>
        <w:gridCol w:w="1498"/>
        <w:gridCol w:w="1647"/>
      </w:tblGrid>
      <w:tr w:rsidR="005B28AA" w:rsidRPr="005B28AA" w14:paraId="05A7DDC3" w14:textId="77777777" w:rsidTr="00360C4D">
        <w:tc>
          <w:tcPr>
            <w:tcW w:w="1510" w:type="dxa"/>
          </w:tcPr>
          <w:p w14:paraId="2EAD3891" w14:textId="77777777" w:rsidR="005B28AA" w:rsidRPr="005B28AA" w:rsidRDefault="005B28AA" w:rsidP="005B28AA">
            <w:pPr>
              <w:spacing w:before="120" w:line="276" w:lineRule="auto"/>
              <w:jc w:val="both"/>
              <w:rPr>
                <w:rFonts w:ascii="Tahoma" w:hAnsi="Tahoma" w:cs="Tahoma"/>
                <w:szCs w:val="24"/>
              </w:rPr>
            </w:pPr>
          </w:p>
        </w:tc>
        <w:tc>
          <w:tcPr>
            <w:tcW w:w="1510" w:type="dxa"/>
          </w:tcPr>
          <w:p w14:paraId="465FEE9D"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2022 r.</w:t>
            </w:r>
          </w:p>
        </w:tc>
        <w:tc>
          <w:tcPr>
            <w:tcW w:w="1510" w:type="dxa"/>
          </w:tcPr>
          <w:p w14:paraId="6951D200"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2023 r. </w:t>
            </w:r>
          </w:p>
        </w:tc>
        <w:tc>
          <w:tcPr>
            <w:tcW w:w="1510" w:type="dxa"/>
          </w:tcPr>
          <w:p w14:paraId="02F24975"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2024 r.</w:t>
            </w:r>
          </w:p>
        </w:tc>
        <w:tc>
          <w:tcPr>
            <w:tcW w:w="1511" w:type="dxa"/>
          </w:tcPr>
          <w:p w14:paraId="23F8BFDC"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2025 r.</w:t>
            </w:r>
          </w:p>
        </w:tc>
        <w:tc>
          <w:tcPr>
            <w:tcW w:w="1658" w:type="dxa"/>
          </w:tcPr>
          <w:p w14:paraId="18E510CD"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Łącznie</w:t>
            </w:r>
          </w:p>
          <w:p w14:paraId="26C24398"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(2022–2025)</w:t>
            </w:r>
          </w:p>
        </w:tc>
      </w:tr>
      <w:tr w:rsidR="005B28AA" w:rsidRPr="005B28AA" w14:paraId="2D925FD5" w14:textId="77777777" w:rsidTr="00360C4D">
        <w:tc>
          <w:tcPr>
            <w:tcW w:w="1510" w:type="dxa"/>
          </w:tcPr>
          <w:p w14:paraId="13F33684"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Maksymalny limit przewidziany w ustawie zmieniającej (w mln zł)</w:t>
            </w:r>
          </w:p>
        </w:tc>
        <w:tc>
          <w:tcPr>
            <w:tcW w:w="1510" w:type="dxa"/>
          </w:tcPr>
          <w:p w14:paraId="747F3407"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0</w:t>
            </w:r>
          </w:p>
        </w:tc>
        <w:tc>
          <w:tcPr>
            <w:tcW w:w="1510" w:type="dxa"/>
          </w:tcPr>
          <w:p w14:paraId="4EFBD4B9"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697</w:t>
            </w:r>
          </w:p>
        </w:tc>
        <w:tc>
          <w:tcPr>
            <w:tcW w:w="1510" w:type="dxa"/>
          </w:tcPr>
          <w:p w14:paraId="2E1C9181"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593</w:t>
            </w:r>
          </w:p>
        </w:tc>
        <w:tc>
          <w:tcPr>
            <w:tcW w:w="1511" w:type="dxa"/>
          </w:tcPr>
          <w:p w14:paraId="1906C29B"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651</w:t>
            </w:r>
          </w:p>
        </w:tc>
        <w:tc>
          <w:tcPr>
            <w:tcW w:w="1658" w:type="dxa"/>
          </w:tcPr>
          <w:p w14:paraId="33646563"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1 941</w:t>
            </w:r>
          </w:p>
        </w:tc>
      </w:tr>
      <w:tr w:rsidR="005B28AA" w:rsidRPr="005B28AA" w14:paraId="5805E84E" w14:textId="77777777" w:rsidTr="00360C4D">
        <w:tc>
          <w:tcPr>
            <w:tcW w:w="1510" w:type="dxa"/>
          </w:tcPr>
          <w:p w14:paraId="63733230"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Maksymalny limit przewidziany </w:t>
            </w:r>
            <w:r w:rsidRPr="005B28AA">
              <w:rPr>
                <w:rFonts w:ascii="Tahoma" w:hAnsi="Tahoma" w:cs="Tahoma"/>
                <w:szCs w:val="24"/>
              </w:rPr>
              <w:lastRenderedPageBreak/>
              <w:t>w projekcie</w:t>
            </w:r>
          </w:p>
        </w:tc>
        <w:tc>
          <w:tcPr>
            <w:tcW w:w="1510" w:type="dxa"/>
          </w:tcPr>
          <w:p w14:paraId="55594409"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lastRenderedPageBreak/>
              <w:t>0</w:t>
            </w:r>
          </w:p>
        </w:tc>
        <w:tc>
          <w:tcPr>
            <w:tcW w:w="1510" w:type="dxa"/>
          </w:tcPr>
          <w:p w14:paraId="5C93FCFC"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0</w:t>
            </w:r>
            <w:r w:rsidRPr="005B28AA">
              <w:rPr>
                <w:rStyle w:val="Odwoanieprzypisudolnego"/>
                <w:rFonts w:ascii="Tahoma" w:hAnsi="Tahoma" w:cs="Tahoma"/>
                <w:szCs w:val="24"/>
              </w:rPr>
              <w:footnoteReference w:id="1"/>
            </w:r>
          </w:p>
        </w:tc>
        <w:tc>
          <w:tcPr>
            <w:tcW w:w="1510" w:type="dxa"/>
          </w:tcPr>
          <w:p w14:paraId="345D4915"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750</w:t>
            </w:r>
          </w:p>
        </w:tc>
        <w:tc>
          <w:tcPr>
            <w:tcW w:w="1511" w:type="dxa"/>
          </w:tcPr>
          <w:p w14:paraId="79C975EE"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1 244</w:t>
            </w:r>
          </w:p>
        </w:tc>
        <w:tc>
          <w:tcPr>
            <w:tcW w:w="1658" w:type="dxa"/>
          </w:tcPr>
          <w:p w14:paraId="40BE1A5B"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1 994 </w:t>
            </w:r>
          </w:p>
        </w:tc>
      </w:tr>
      <w:tr w:rsidR="005B28AA" w:rsidRPr="005B28AA" w14:paraId="69660647" w14:textId="77777777" w:rsidTr="00360C4D">
        <w:tc>
          <w:tcPr>
            <w:tcW w:w="1510" w:type="dxa"/>
          </w:tcPr>
          <w:p w14:paraId="75ADCA9B"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Zmiana (w mln zł)</w:t>
            </w:r>
          </w:p>
        </w:tc>
        <w:tc>
          <w:tcPr>
            <w:tcW w:w="1510" w:type="dxa"/>
          </w:tcPr>
          <w:p w14:paraId="27428715"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0</w:t>
            </w:r>
          </w:p>
        </w:tc>
        <w:tc>
          <w:tcPr>
            <w:tcW w:w="1510" w:type="dxa"/>
          </w:tcPr>
          <w:p w14:paraId="3E450453"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-697</w:t>
            </w:r>
          </w:p>
        </w:tc>
        <w:tc>
          <w:tcPr>
            <w:tcW w:w="1510" w:type="dxa"/>
          </w:tcPr>
          <w:p w14:paraId="78C3B9DE"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157</w:t>
            </w:r>
          </w:p>
        </w:tc>
        <w:tc>
          <w:tcPr>
            <w:tcW w:w="1511" w:type="dxa"/>
          </w:tcPr>
          <w:p w14:paraId="07BE7210"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593</w:t>
            </w:r>
          </w:p>
        </w:tc>
        <w:tc>
          <w:tcPr>
            <w:tcW w:w="1658" w:type="dxa"/>
          </w:tcPr>
          <w:p w14:paraId="302A7F65"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53 </w:t>
            </w:r>
          </w:p>
        </w:tc>
      </w:tr>
    </w:tbl>
    <w:p w14:paraId="0A0BC1AA" w14:textId="77777777" w:rsidR="005B28AA" w:rsidRPr="005B28AA" w:rsidRDefault="005B28AA" w:rsidP="005B28AA">
      <w:pPr>
        <w:spacing w:before="120" w:line="276" w:lineRule="auto"/>
        <w:jc w:val="both"/>
        <w:rPr>
          <w:rFonts w:ascii="Tahoma" w:hAnsi="Tahoma" w:cs="Tahoma"/>
          <w:szCs w:val="24"/>
        </w:rPr>
      </w:pPr>
    </w:p>
    <w:p w14:paraId="00115181"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Projekt zawiera przepis przejściowy (art. 3), zgodnie z którym do finansowania kosztu świadczenia usług powszechnych za lata 2021 i 2022 będzie się stosowało przepis art. 109a Prawa pocztowego dodawany projektowaną ustawą. </w:t>
      </w:r>
    </w:p>
    <w:p w14:paraId="337084ED"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Poczta Polska S.A. nie otrzymała dotychczas żadnych środków z budżetu państwa przeznaczonych na finansowanie kosztu netto obowiązku świadczenia usług powszechnych.</w:t>
      </w:r>
    </w:p>
    <w:p w14:paraId="7EA84160"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Projekt ustawy nie ma wpływu na jednostki samorządu terytorialnego.</w:t>
      </w:r>
    </w:p>
    <w:p w14:paraId="17E10015"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 xml:space="preserve">Projekt ma pozytywne skutki społeczne i gospodarcze gdyż zapewnia uruchamiane </w:t>
      </w:r>
      <w:r>
        <w:rPr>
          <w:rFonts w:ascii="Tahoma" w:hAnsi="Tahoma" w:cs="Tahoma"/>
          <w:szCs w:val="24"/>
        </w:rPr>
        <w:br/>
      </w:r>
      <w:r w:rsidRPr="005B28AA">
        <w:rPr>
          <w:rFonts w:ascii="Tahoma" w:hAnsi="Tahoma" w:cs="Tahoma"/>
          <w:szCs w:val="24"/>
        </w:rPr>
        <w:t>w racjonalnym czasie finansowanie usług powszechnych, a tym samym jest niezbędny do zapewnienia efektywnego świadczenia tych usług w Polsce, co ma szczególne znaczenie dla obywateli i przedsiębiorców (w tym zwłaszcza mikro, małych i średnich przedsiębiorców) funkcjonujących na tzw. obszarach oddalonych (w tym obszarach wiejskich).</w:t>
      </w:r>
    </w:p>
    <w:p w14:paraId="2DCCD104" w14:textId="77777777" w:rsidR="005B28AA" w:rsidRPr="005B28AA" w:rsidRDefault="005B28AA" w:rsidP="005B28AA">
      <w:pPr>
        <w:spacing w:before="120" w:line="276" w:lineRule="auto"/>
        <w:jc w:val="both"/>
        <w:rPr>
          <w:rFonts w:ascii="Tahoma" w:hAnsi="Tahoma" w:cs="Tahoma"/>
          <w:szCs w:val="24"/>
        </w:rPr>
      </w:pPr>
      <w:r w:rsidRPr="005B28AA">
        <w:rPr>
          <w:rFonts w:ascii="Tahoma" w:hAnsi="Tahoma" w:cs="Tahoma"/>
          <w:szCs w:val="24"/>
        </w:rPr>
        <w:t>Przedmiot projektu ustawy jest objęty prawem UE.</w:t>
      </w:r>
    </w:p>
    <w:p w14:paraId="257B4073" w14:textId="77777777" w:rsidR="005B28AA" w:rsidRPr="005B28AA" w:rsidRDefault="005B28AA" w:rsidP="005B28AA">
      <w:pPr>
        <w:spacing w:before="120" w:line="276" w:lineRule="auto"/>
        <w:rPr>
          <w:rFonts w:ascii="Tahoma" w:hAnsi="Tahoma" w:cs="Tahoma"/>
          <w:szCs w:val="24"/>
        </w:rPr>
      </w:pPr>
    </w:p>
    <w:p w14:paraId="046445E3" w14:textId="77777777" w:rsidR="005B28AA" w:rsidRPr="005B28AA" w:rsidRDefault="005B28AA" w:rsidP="005B28AA">
      <w:pPr>
        <w:spacing w:before="120" w:line="276" w:lineRule="auto"/>
        <w:rPr>
          <w:rFonts w:ascii="Tahoma" w:hAnsi="Tahoma" w:cs="Tahoma"/>
          <w:szCs w:val="24"/>
        </w:rPr>
      </w:pPr>
    </w:p>
    <w:p w14:paraId="15D9BB3B" w14:textId="77777777" w:rsidR="005B28AA" w:rsidRPr="005B28AA" w:rsidRDefault="005B28AA" w:rsidP="005B28AA">
      <w:pPr>
        <w:spacing w:before="120" w:line="276" w:lineRule="auto"/>
        <w:rPr>
          <w:rFonts w:ascii="Tahoma" w:hAnsi="Tahoma" w:cs="Tahoma"/>
          <w:szCs w:val="24"/>
        </w:rPr>
      </w:pPr>
    </w:p>
    <w:p w14:paraId="5CF08EE3" w14:textId="77777777" w:rsidR="005B28AA" w:rsidRPr="005B28AA" w:rsidRDefault="005B28AA" w:rsidP="005B28AA">
      <w:pPr>
        <w:spacing w:before="120" w:line="276" w:lineRule="auto"/>
        <w:rPr>
          <w:rFonts w:ascii="Tahoma" w:hAnsi="Tahoma" w:cs="Tahoma"/>
          <w:szCs w:val="24"/>
        </w:rPr>
      </w:pPr>
    </w:p>
    <w:p w14:paraId="13A68D1C" w14:textId="77777777" w:rsidR="005B28AA" w:rsidRPr="005B28AA" w:rsidRDefault="005B28AA" w:rsidP="005B28AA">
      <w:pPr>
        <w:spacing w:before="120" w:line="276" w:lineRule="auto"/>
        <w:rPr>
          <w:rFonts w:ascii="Tahoma" w:hAnsi="Tahoma" w:cs="Tahoma"/>
          <w:szCs w:val="24"/>
        </w:rPr>
      </w:pPr>
    </w:p>
    <w:p w14:paraId="77801B33" w14:textId="77777777" w:rsidR="005B28AA" w:rsidRPr="005B28AA" w:rsidRDefault="005B28AA" w:rsidP="005B28AA">
      <w:pPr>
        <w:spacing w:before="120" w:line="276" w:lineRule="auto"/>
        <w:rPr>
          <w:rFonts w:ascii="Tahoma" w:hAnsi="Tahoma" w:cs="Tahoma"/>
          <w:szCs w:val="24"/>
        </w:rPr>
      </w:pPr>
    </w:p>
    <w:sectPr w:rsidR="005B28AA" w:rsidRPr="005B28A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1F0E" w14:textId="77777777" w:rsidR="00C45E70" w:rsidRDefault="00C45E70">
      <w:r>
        <w:separator/>
      </w:r>
    </w:p>
  </w:endnote>
  <w:endnote w:type="continuationSeparator" w:id="0">
    <w:p w14:paraId="40B38A5B" w14:textId="77777777" w:rsidR="00C45E70" w:rsidRDefault="00C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FE7B" w14:textId="77777777" w:rsidR="00C45E70" w:rsidRDefault="00C45E70">
      <w:r>
        <w:separator/>
      </w:r>
    </w:p>
  </w:footnote>
  <w:footnote w:type="continuationSeparator" w:id="0">
    <w:p w14:paraId="3C9C32AB" w14:textId="77777777" w:rsidR="00C45E70" w:rsidRDefault="00C45E70">
      <w:r>
        <w:continuationSeparator/>
      </w:r>
    </w:p>
  </w:footnote>
  <w:footnote w:id="1">
    <w:p w14:paraId="72333E81" w14:textId="77777777" w:rsidR="005B28AA" w:rsidRPr="001828C1" w:rsidRDefault="005B28AA" w:rsidP="005B28AA">
      <w:pPr>
        <w:pStyle w:val="Tekstprzypisudolnego"/>
        <w:rPr>
          <w:rFonts w:ascii="Times New Roman" w:hAnsi="Times New Roman"/>
        </w:rPr>
      </w:pPr>
      <w:r w:rsidRPr="001828C1">
        <w:rPr>
          <w:rStyle w:val="Odwoanieprzypisudolnego"/>
          <w:rFonts w:ascii="Times New Roman" w:hAnsi="Times New Roman"/>
        </w:rPr>
        <w:footnoteRef/>
      </w:r>
      <w:r w:rsidRPr="001828C1">
        <w:rPr>
          <w:rFonts w:ascii="Times New Roman" w:hAnsi="Times New Roman"/>
        </w:rPr>
        <w:t xml:space="preserve"> Środki na 2023 r. nie zostały wydatkowane.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70A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6A72FE">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590321"/>
    <w:multiLevelType w:val="hybridMultilevel"/>
    <w:tmpl w:val="B56094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90420B"/>
    <w:multiLevelType w:val="hybridMultilevel"/>
    <w:tmpl w:val="B3CC41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3040D7"/>
    <w:multiLevelType w:val="hybridMultilevel"/>
    <w:tmpl w:val="C96E2B1E"/>
    <w:lvl w:ilvl="0" w:tplc="F9943A6C">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3901355">
    <w:abstractNumId w:val="24"/>
  </w:num>
  <w:num w:numId="2" w16cid:durableId="320043593">
    <w:abstractNumId w:val="24"/>
  </w:num>
  <w:num w:numId="3" w16cid:durableId="1880900223">
    <w:abstractNumId w:val="19"/>
  </w:num>
  <w:num w:numId="4" w16cid:durableId="813645075">
    <w:abstractNumId w:val="19"/>
  </w:num>
  <w:num w:numId="5" w16cid:durableId="1624799994">
    <w:abstractNumId w:val="38"/>
  </w:num>
  <w:num w:numId="6" w16cid:durableId="2121877864">
    <w:abstractNumId w:val="34"/>
  </w:num>
  <w:num w:numId="7" w16cid:durableId="672687383">
    <w:abstractNumId w:val="38"/>
  </w:num>
  <w:num w:numId="8" w16cid:durableId="13849646">
    <w:abstractNumId w:val="34"/>
  </w:num>
  <w:num w:numId="9" w16cid:durableId="1479761830">
    <w:abstractNumId w:val="38"/>
  </w:num>
  <w:num w:numId="10" w16cid:durableId="1794129263">
    <w:abstractNumId w:val="34"/>
  </w:num>
  <w:num w:numId="11" w16cid:durableId="1230964180">
    <w:abstractNumId w:val="15"/>
  </w:num>
  <w:num w:numId="12" w16cid:durableId="616180713">
    <w:abstractNumId w:val="10"/>
  </w:num>
  <w:num w:numId="13" w16cid:durableId="53050478">
    <w:abstractNumId w:val="16"/>
  </w:num>
  <w:num w:numId="14" w16cid:durableId="1741442171">
    <w:abstractNumId w:val="27"/>
  </w:num>
  <w:num w:numId="15" w16cid:durableId="147482395">
    <w:abstractNumId w:val="15"/>
  </w:num>
  <w:num w:numId="16" w16cid:durableId="283313059">
    <w:abstractNumId w:val="17"/>
  </w:num>
  <w:num w:numId="17" w16cid:durableId="875511275">
    <w:abstractNumId w:val="8"/>
  </w:num>
  <w:num w:numId="18" w16cid:durableId="2143813979">
    <w:abstractNumId w:val="3"/>
  </w:num>
  <w:num w:numId="19" w16cid:durableId="1296985926">
    <w:abstractNumId w:val="2"/>
  </w:num>
  <w:num w:numId="20" w16cid:durableId="1129401425">
    <w:abstractNumId w:val="1"/>
  </w:num>
  <w:num w:numId="21" w16cid:durableId="1293559759">
    <w:abstractNumId w:val="0"/>
  </w:num>
  <w:num w:numId="22" w16cid:durableId="389839879">
    <w:abstractNumId w:val="9"/>
  </w:num>
  <w:num w:numId="23" w16cid:durableId="501357742">
    <w:abstractNumId w:val="7"/>
  </w:num>
  <w:num w:numId="24" w16cid:durableId="1816335887">
    <w:abstractNumId w:val="6"/>
  </w:num>
  <w:num w:numId="25" w16cid:durableId="435371713">
    <w:abstractNumId w:val="5"/>
  </w:num>
  <w:num w:numId="26" w16cid:durableId="56831308">
    <w:abstractNumId w:val="4"/>
  </w:num>
  <w:num w:numId="27" w16cid:durableId="990595139">
    <w:abstractNumId w:val="36"/>
  </w:num>
  <w:num w:numId="28" w16cid:durableId="1652561267">
    <w:abstractNumId w:val="26"/>
  </w:num>
  <w:num w:numId="29" w16cid:durableId="900484754">
    <w:abstractNumId w:val="39"/>
  </w:num>
  <w:num w:numId="30" w16cid:durableId="1690259746">
    <w:abstractNumId w:val="35"/>
  </w:num>
  <w:num w:numId="31" w16cid:durableId="1794903150">
    <w:abstractNumId w:val="20"/>
  </w:num>
  <w:num w:numId="32" w16cid:durableId="1647931835">
    <w:abstractNumId w:val="11"/>
  </w:num>
  <w:num w:numId="33" w16cid:durableId="2068840984">
    <w:abstractNumId w:val="33"/>
  </w:num>
  <w:num w:numId="34" w16cid:durableId="2025590448">
    <w:abstractNumId w:val="21"/>
  </w:num>
  <w:num w:numId="35" w16cid:durableId="1658412837">
    <w:abstractNumId w:val="18"/>
  </w:num>
  <w:num w:numId="36" w16cid:durableId="733089456">
    <w:abstractNumId w:val="23"/>
  </w:num>
  <w:num w:numId="37" w16cid:durableId="337856276">
    <w:abstractNumId w:val="28"/>
  </w:num>
  <w:num w:numId="38" w16cid:durableId="680207920">
    <w:abstractNumId w:val="25"/>
  </w:num>
  <w:num w:numId="39" w16cid:durableId="238485695">
    <w:abstractNumId w:val="14"/>
  </w:num>
  <w:num w:numId="40" w16cid:durableId="1154031266">
    <w:abstractNumId w:val="32"/>
  </w:num>
  <w:num w:numId="41" w16cid:durableId="162745675">
    <w:abstractNumId w:val="31"/>
  </w:num>
  <w:num w:numId="42" w16cid:durableId="1948270376">
    <w:abstractNumId w:val="22"/>
  </w:num>
  <w:num w:numId="43" w16cid:durableId="611589411">
    <w:abstractNumId w:val="37"/>
  </w:num>
  <w:num w:numId="44" w16cid:durableId="1559972863">
    <w:abstractNumId w:val="13"/>
  </w:num>
  <w:num w:numId="45" w16cid:durableId="2146774720">
    <w:abstractNumId w:val="12"/>
  </w:num>
  <w:num w:numId="46" w16cid:durableId="1210264952">
    <w:abstractNumId w:val="30"/>
  </w:num>
  <w:num w:numId="47" w16cid:durableId="6159094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ED"/>
    <w:rsid w:val="0000072C"/>
    <w:rsid w:val="000012DA"/>
    <w:rsid w:val="0000246E"/>
    <w:rsid w:val="00003862"/>
    <w:rsid w:val="00012A35"/>
    <w:rsid w:val="00016099"/>
    <w:rsid w:val="00017DC2"/>
    <w:rsid w:val="00017DE1"/>
    <w:rsid w:val="00021522"/>
    <w:rsid w:val="00023471"/>
    <w:rsid w:val="00023F13"/>
    <w:rsid w:val="0002703F"/>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678EC"/>
    <w:rsid w:val="00071BEE"/>
    <w:rsid w:val="000736CD"/>
    <w:rsid w:val="0007533B"/>
    <w:rsid w:val="0007545D"/>
    <w:rsid w:val="000760BF"/>
    <w:rsid w:val="0007613E"/>
    <w:rsid w:val="00076BFC"/>
    <w:rsid w:val="00077E0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18"/>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44BC"/>
    <w:rsid w:val="00106D03"/>
    <w:rsid w:val="00110465"/>
    <w:rsid w:val="00110628"/>
    <w:rsid w:val="0011245A"/>
    <w:rsid w:val="0011493E"/>
    <w:rsid w:val="00115B72"/>
    <w:rsid w:val="001209EC"/>
    <w:rsid w:val="00120A9E"/>
    <w:rsid w:val="00125A9C"/>
    <w:rsid w:val="001270A2"/>
    <w:rsid w:val="00131237"/>
    <w:rsid w:val="001329AC"/>
    <w:rsid w:val="00134CA0"/>
    <w:rsid w:val="00136AA3"/>
    <w:rsid w:val="0014026F"/>
    <w:rsid w:val="00147A47"/>
    <w:rsid w:val="00147AA1"/>
    <w:rsid w:val="001520CF"/>
    <w:rsid w:val="0015667C"/>
    <w:rsid w:val="00157110"/>
    <w:rsid w:val="0015742A"/>
    <w:rsid w:val="00157DA1"/>
    <w:rsid w:val="00163147"/>
    <w:rsid w:val="00164C57"/>
    <w:rsid w:val="00164C9D"/>
    <w:rsid w:val="00171DC2"/>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6B52"/>
    <w:rsid w:val="001C1832"/>
    <w:rsid w:val="001C188C"/>
    <w:rsid w:val="001D1783"/>
    <w:rsid w:val="001D2CDE"/>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470E1"/>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65DF"/>
    <w:rsid w:val="002D7188"/>
    <w:rsid w:val="002E1C91"/>
    <w:rsid w:val="002E1DE3"/>
    <w:rsid w:val="002E2AB6"/>
    <w:rsid w:val="002E3F34"/>
    <w:rsid w:val="002E5F79"/>
    <w:rsid w:val="002E64FA"/>
    <w:rsid w:val="002F0A00"/>
    <w:rsid w:val="002F0CFA"/>
    <w:rsid w:val="002F31B0"/>
    <w:rsid w:val="002F669F"/>
    <w:rsid w:val="00301C97"/>
    <w:rsid w:val="00306D2F"/>
    <w:rsid w:val="0031004C"/>
    <w:rsid w:val="003105F6"/>
    <w:rsid w:val="00311297"/>
    <w:rsid w:val="003113BE"/>
    <w:rsid w:val="003122CA"/>
    <w:rsid w:val="003148FD"/>
    <w:rsid w:val="00321080"/>
    <w:rsid w:val="00322D45"/>
    <w:rsid w:val="0032560E"/>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13D0"/>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E3745"/>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B3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752"/>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4322"/>
    <w:rsid w:val="004F508B"/>
    <w:rsid w:val="004F695F"/>
    <w:rsid w:val="004F6CA4"/>
    <w:rsid w:val="00500752"/>
    <w:rsid w:val="00501A50"/>
    <w:rsid w:val="0050222D"/>
    <w:rsid w:val="00503AF3"/>
    <w:rsid w:val="00505FBB"/>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20AD"/>
    <w:rsid w:val="0059674A"/>
    <w:rsid w:val="00597024"/>
    <w:rsid w:val="005A0274"/>
    <w:rsid w:val="005A095C"/>
    <w:rsid w:val="005A4E15"/>
    <w:rsid w:val="005A669D"/>
    <w:rsid w:val="005A75D8"/>
    <w:rsid w:val="005B28AA"/>
    <w:rsid w:val="005B713E"/>
    <w:rsid w:val="005C03B6"/>
    <w:rsid w:val="005C348E"/>
    <w:rsid w:val="005C65A6"/>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4BC8"/>
    <w:rsid w:val="00635134"/>
    <w:rsid w:val="006356E2"/>
    <w:rsid w:val="00642A65"/>
    <w:rsid w:val="00645DCE"/>
    <w:rsid w:val="006465AC"/>
    <w:rsid w:val="006465BF"/>
    <w:rsid w:val="00653B22"/>
    <w:rsid w:val="00657BF4"/>
    <w:rsid w:val="006603FB"/>
    <w:rsid w:val="006608DF"/>
    <w:rsid w:val="0066100E"/>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2FE"/>
    <w:rsid w:val="006A748A"/>
    <w:rsid w:val="006B333A"/>
    <w:rsid w:val="006C419E"/>
    <w:rsid w:val="006C4A31"/>
    <w:rsid w:val="006C5AC2"/>
    <w:rsid w:val="006C6AFB"/>
    <w:rsid w:val="006D2735"/>
    <w:rsid w:val="006D45B2"/>
    <w:rsid w:val="006E0FCC"/>
    <w:rsid w:val="006E1E96"/>
    <w:rsid w:val="006E5E21"/>
    <w:rsid w:val="006F2648"/>
    <w:rsid w:val="006F2F10"/>
    <w:rsid w:val="006F482B"/>
    <w:rsid w:val="006F6311"/>
    <w:rsid w:val="006F6C24"/>
    <w:rsid w:val="00701952"/>
    <w:rsid w:val="00702556"/>
    <w:rsid w:val="0070277E"/>
    <w:rsid w:val="00704156"/>
    <w:rsid w:val="007053FA"/>
    <w:rsid w:val="007069FC"/>
    <w:rsid w:val="00706DA0"/>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3A2A"/>
    <w:rsid w:val="00794953"/>
    <w:rsid w:val="007A1F2F"/>
    <w:rsid w:val="007A2A5C"/>
    <w:rsid w:val="007A4144"/>
    <w:rsid w:val="007A5150"/>
    <w:rsid w:val="007A5373"/>
    <w:rsid w:val="007A789F"/>
    <w:rsid w:val="007B4F75"/>
    <w:rsid w:val="007B75BC"/>
    <w:rsid w:val="007C03E9"/>
    <w:rsid w:val="007C0BD6"/>
    <w:rsid w:val="007C3806"/>
    <w:rsid w:val="007C5BB7"/>
    <w:rsid w:val="007D07D5"/>
    <w:rsid w:val="007D1C64"/>
    <w:rsid w:val="007D32DD"/>
    <w:rsid w:val="007D6DCE"/>
    <w:rsid w:val="007D72C4"/>
    <w:rsid w:val="007E2CFE"/>
    <w:rsid w:val="007E59C9"/>
    <w:rsid w:val="007F0072"/>
    <w:rsid w:val="007F2EB6"/>
    <w:rsid w:val="007F54C3"/>
    <w:rsid w:val="007F6210"/>
    <w:rsid w:val="00802949"/>
    <w:rsid w:val="0080301E"/>
    <w:rsid w:val="0080365F"/>
    <w:rsid w:val="00810522"/>
    <w:rsid w:val="00812BE5"/>
    <w:rsid w:val="00817429"/>
    <w:rsid w:val="00821514"/>
    <w:rsid w:val="00821E35"/>
    <w:rsid w:val="00824591"/>
    <w:rsid w:val="00824AED"/>
    <w:rsid w:val="00827820"/>
    <w:rsid w:val="00831B8B"/>
    <w:rsid w:val="00833CCC"/>
    <w:rsid w:val="0083405D"/>
    <w:rsid w:val="008352D4"/>
    <w:rsid w:val="00836DB9"/>
    <w:rsid w:val="00837C67"/>
    <w:rsid w:val="008415B0"/>
    <w:rsid w:val="00842028"/>
    <w:rsid w:val="008436B8"/>
    <w:rsid w:val="00844932"/>
    <w:rsid w:val="008460B6"/>
    <w:rsid w:val="00850C9D"/>
    <w:rsid w:val="00852B59"/>
    <w:rsid w:val="00856272"/>
    <w:rsid w:val="008563FF"/>
    <w:rsid w:val="008569C6"/>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15C2"/>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32F8"/>
    <w:rsid w:val="008E620F"/>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12B5"/>
    <w:rsid w:val="00984E03"/>
    <w:rsid w:val="00987E85"/>
    <w:rsid w:val="00993831"/>
    <w:rsid w:val="009A0D12"/>
    <w:rsid w:val="009A1987"/>
    <w:rsid w:val="009A1C0B"/>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5BED"/>
    <w:rsid w:val="009E7D90"/>
    <w:rsid w:val="009F1AB0"/>
    <w:rsid w:val="009F501D"/>
    <w:rsid w:val="00A00EFF"/>
    <w:rsid w:val="00A039D5"/>
    <w:rsid w:val="00A046AD"/>
    <w:rsid w:val="00A079C1"/>
    <w:rsid w:val="00A12520"/>
    <w:rsid w:val="00A130FD"/>
    <w:rsid w:val="00A13D6D"/>
    <w:rsid w:val="00A14769"/>
    <w:rsid w:val="00A16151"/>
    <w:rsid w:val="00A161A2"/>
    <w:rsid w:val="00A16EC6"/>
    <w:rsid w:val="00A17C06"/>
    <w:rsid w:val="00A2126E"/>
    <w:rsid w:val="00A21706"/>
    <w:rsid w:val="00A24FCC"/>
    <w:rsid w:val="00A26A90"/>
    <w:rsid w:val="00A26B27"/>
    <w:rsid w:val="00A3068B"/>
    <w:rsid w:val="00A30E4F"/>
    <w:rsid w:val="00A31535"/>
    <w:rsid w:val="00A32253"/>
    <w:rsid w:val="00A3310E"/>
    <w:rsid w:val="00A333A0"/>
    <w:rsid w:val="00A37E70"/>
    <w:rsid w:val="00A437E1"/>
    <w:rsid w:val="00A466E3"/>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04CD"/>
    <w:rsid w:val="00A90DF9"/>
    <w:rsid w:val="00A94288"/>
    <w:rsid w:val="00A94574"/>
    <w:rsid w:val="00A95936"/>
    <w:rsid w:val="00A96265"/>
    <w:rsid w:val="00A97084"/>
    <w:rsid w:val="00AA1926"/>
    <w:rsid w:val="00AA1C2C"/>
    <w:rsid w:val="00AA35F6"/>
    <w:rsid w:val="00AA667C"/>
    <w:rsid w:val="00AA6E91"/>
    <w:rsid w:val="00AA7439"/>
    <w:rsid w:val="00AB047E"/>
    <w:rsid w:val="00AB0B0A"/>
    <w:rsid w:val="00AB0BB7"/>
    <w:rsid w:val="00AB22C6"/>
    <w:rsid w:val="00AB2AD0"/>
    <w:rsid w:val="00AB61AB"/>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469B"/>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2936"/>
    <w:rsid w:val="00B52FB9"/>
    <w:rsid w:val="00B535C2"/>
    <w:rsid w:val="00B55544"/>
    <w:rsid w:val="00B57A22"/>
    <w:rsid w:val="00B642FC"/>
    <w:rsid w:val="00B64D26"/>
    <w:rsid w:val="00B64FBB"/>
    <w:rsid w:val="00B70E22"/>
    <w:rsid w:val="00B774CB"/>
    <w:rsid w:val="00B777F4"/>
    <w:rsid w:val="00B80402"/>
    <w:rsid w:val="00B80B9A"/>
    <w:rsid w:val="00B830B7"/>
    <w:rsid w:val="00B848EA"/>
    <w:rsid w:val="00B84B2B"/>
    <w:rsid w:val="00B90500"/>
    <w:rsid w:val="00B9176C"/>
    <w:rsid w:val="00B935A4"/>
    <w:rsid w:val="00BA561A"/>
    <w:rsid w:val="00BA65BB"/>
    <w:rsid w:val="00BB01E5"/>
    <w:rsid w:val="00BB0BD7"/>
    <w:rsid w:val="00BB0DC6"/>
    <w:rsid w:val="00BB15E4"/>
    <w:rsid w:val="00BB1945"/>
    <w:rsid w:val="00BB1E19"/>
    <w:rsid w:val="00BB21D1"/>
    <w:rsid w:val="00BB32F2"/>
    <w:rsid w:val="00BB4338"/>
    <w:rsid w:val="00BB6C0E"/>
    <w:rsid w:val="00BB7B38"/>
    <w:rsid w:val="00BC11E5"/>
    <w:rsid w:val="00BC1F68"/>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2F2F"/>
    <w:rsid w:val="00C04CEF"/>
    <w:rsid w:val="00C0662F"/>
    <w:rsid w:val="00C11943"/>
    <w:rsid w:val="00C12E96"/>
    <w:rsid w:val="00C14763"/>
    <w:rsid w:val="00C16141"/>
    <w:rsid w:val="00C222AC"/>
    <w:rsid w:val="00C2363F"/>
    <w:rsid w:val="00C236C8"/>
    <w:rsid w:val="00C260B1"/>
    <w:rsid w:val="00C26E56"/>
    <w:rsid w:val="00C31406"/>
    <w:rsid w:val="00C37194"/>
    <w:rsid w:val="00C40637"/>
    <w:rsid w:val="00C40F6C"/>
    <w:rsid w:val="00C44426"/>
    <w:rsid w:val="00C445F3"/>
    <w:rsid w:val="00C451F4"/>
    <w:rsid w:val="00C45E70"/>
    <w:rsid w:val="00C45EB1"/>
    <w:rsid w:val="00C54A3A"/>
    <w:rsid w:val="00C55566"/>
    <w:rsid w:val="00C56448"/>
    <w:rsid w:val="00C667BE"/>
    <w:rsid w:val="00C6766B"/>
    <w:rsid w:val="00C72223"/>
    <w:rsid w:val="00C76417"/>
    <w:rsid w:val="00C7726F"/>
    <w:rsid w:val="00C823DA"/>
    <w:rsid w:val="00C8259F"/>
    <w:rsid w:val="00C82746"/>
    <w:rsid w:val="00C8312F"/>
    <w:rsid w:val="00C83E2A"/>
    <w:rsid w:val="00C84C47"/>
    <w:rsid w:val="00C858A4"/>
    <w:rsid w:val="00C86AFA"/>
    <w:rsid w:val="00CA4962"/>
    <w:rsid w:val="00CB0C2C"/>
    <w:rsid w:val="00CB18D0"/>
    <w:rsid w:val="00CB1C8A"/>
    <w:rsid w:val="00CB24F5"/>
    <w:rsid w:val="00CB2663"/>
    <w:rsid w:val="00CB3BBE"/>
    <w:rsid w:val="00CB5331"/>
    <w:rsid w:val="00CB59E9"/>
    <w:rsid w:val="00CC0D6A"/>
    <w:rsid w:val="00CC3831"/>
    <w:rsid w:val="00CC3E3D"/>
    <w:rsid w:val="00CC519B"/>
    <w:rsid w:val="00CD12C1"/>
    <w:rsid w:val="00CD214E"/>
    <w:rsid w:val="00CD46FA"/>
    <w:rsid w:val="00CD5973"/>
    <w:rsid w:val="00CE1DE4"/>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2EB2"/>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74A"/>
    <w:rsid w:val="00D80E7D"/>
    <w:rsid w:val="00D81397"/>
    <w:rsid w:val="00D848B9"/>
    <w:rsid w:val="00D90E69"/>
    <w:rsid w:val="00D91368"/>
    <w:rsid w:val="00D93106"/>
    <w:rsid w:val="00D933E9"/>
    <w:rsid w:val="00D9505D"/>
    <w:rsid w:val="00D953D0"/>
    <w:rsid w:val="00D959F5"/>
    <w:rsid w:val="00D963D2"/>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11BD"/>
    <w:rsid w:val="00DE1554"/>
    <w:rsid w:val="00DE2901"/>
    <w:rsid w:val="00DE590F"/>
    <w:rsid w:val="00DE7DC1"/>
    <w:rsid w:val="00DF3F7E"/>
    <w:rsid w:val="00DF7648"/>
    <w:rsid w:val="00E00E29"/>
    <w:rsid w:val="00E01C5D"/>
    <w:rsid w:val="00E02BAB"/>
    <w:rsid w:val="00E04CEB"/>
    <w:rsid w:val="00E060BC"/>
    <w:rsid w:val="00E11420"/>
    <w:rsid w:val="00E11B30"/>
    <w:rsid w:val="00E132FB"/>
    <w:rsid w:val="00E170B7"/>
    <w:rsid w:val="00E177DD"/>
    <w:rsid w:val="00E2086A"/>
    <w:rsid w:val="00E20900"/>
    <w:rsid w:val="00E20C7F"/>
    <w:rsid w:val="00E2396E"/>
    <w:rsid w:val="00E24728"/>
    <w:rsid w:val="00E276AC"/>
    <w:rsid w:val="00E34A35"/>
    <w:rsid w:val="00E35027"/>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4B42"/>
    <w:rsid w:val="00E755A7"/>
    <w:rsid w:val="00E75DDA"/>
    <w:rsid w:val="00E773E8"/>
    <w:rsid w:val="00E83ADD"/>
    <w:rsid w:val="00E84F38"/>
    <w:rsid w:val="00E85623"/>
    <w:rsid w:val="00E87441"/>
    <w:rsid w:val="00E91FAE"/>
    <w:rsid w:val="00E9484D"/>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3F0"/>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FC54B"/>
  <w15:docId w15:val="{907EB9B3-5ED7-4306-9211-27600321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C5D"/>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styleId="Siatkatabelijasna">
    <w:name w:val="Grid Table Light"/>
    <w:basedOn w:val="Standardowy"/>
    <w:uiPriority w:val="40"/>
    <w:rsid w:val="00E01C5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E01C5D"/>
    <w:rPr>
      <w:color w:val="0000FF" w:themeColor="hyperlink"/>
      <w:u w:val="single"/>
    </w:rPr>
  </w:style>
  <w:style w:type="paragraph" w:styleId="Akapitzlist">
    <w:name w:val="List Paragraph"/>
    <w:basedOn w:val="Normalny"/>
    <w:uiPriority w:val="34"/>
    <w:qFormat/>
    <w:rsid w:val="005B28AA"/>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ka%20Agniesz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EF8C2C-FE5A-4D19-B17C-6421646F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7</Pages>
  <Words>1886</Words>
  <Characters>11319</Characters>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Manager/>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2024-02-08T13:08:00Z</cp:lastPrinted>
  <dcterms:created xsi:type="dcterms:W3CDTF">2024-02-09T14:31:00Z</dcterms:created>
  <dcterms:modified xsi:type="dcterms:W3CDTF">2024-02-09T15:18:00Z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